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adjustRightInd w:val="0"/>
        <w:snapToGrid w:val="0"/>
        <w:spacing w:beforeAutospacing="0" w:afterAutospacing="0" w:line="700" w:lineRule="atLeast"/>
        <w:ind w:firstLine="0" w:firstLineChars="0"/>
        <w:jc w:val="center"/>
        <w:rPr>
          <w:rFonts w:ascii="方正小标宋简体" w:hAnsi="方正小标宋简体" w:eastAsia="方正小标宋简体" w:cs="方正小标宋简体"/>
          <w:color w:val="333333"/>
          <w:sz w:val="44"/>
          <w:szCs w:val="44"/>
          <w:shd w:val="clear" w:color="auto" w:fill="FFFFFF"/>
        </w:rPr>
      </w:pPr>
    </w:p>
    <w:p>
      <w:pPr>
        <w:pStyle w:val="9"/>
        <w:widowControl/>
        <w:shd w:val="clear" w:color="auto" w:fill="FFFFFF"/>
        <w:adjustRightInd w:val="0"/>
        <w:snapToGrid w:val="0"/>
        <w:spacing w:beforeAutospacing="0" w:afterAutospacing="0" w:line="700" w:lineRule="atLeast"/>
        <w:ind w:firstLine="0" w:firstLineChars="0"/>
        <w:jc w:val="center"/>
        <w:rPr>
          <w:rFonts w:hint="eastAsia" w:ascii="CESI小标宋-GB2312" w:hAnsi="CESI小标宋-GB2312" w:eastAsia="CESI小标宋-GB2312" w:cs="CESI小标宋-GB2312"/>
          <w:color w:val="333333"/>
          <w:sz w:val="44"/>
          <w:szCs w:val="44"/>
          <w:shd w:val="clear" w:color="auto" w:fill="FFFFFF"/>
        </w:rPr>
      </w:pPr>
    </w:p>
    <w:p>
      <w:pPr>
        <w:pStyle w:val="9"/>
        <w:widowControl/>
        <w:shd w:val="clear" w:color="auto" w:fill="FFFFFF"/>
        <w:adjustRightInd w:val="0"/>
        <w:snapToGrid w:val="0"/>
        <w:spacing w:beforeAutospacing="0" w:afterAutospacing="0" w:line="700" w:lineRule="atLeast"/>
        <w:ind w:firstLine="0" w:firstLineChars="0"/>
        <w:jc w:val="center"/>
        <w:rPr>
          <w:rFonts w:hint="eastAsia" w:ascii="CESI小标宋-GB2312" w:hAnsi="CESI小标宋-GB2312" w:eastAsia="CESI小标宋-GB2312" w:cs="CESI小标宋-GB2312"/>
          <w:color w:val="333333"/>
          <w:sz w:val="44"/>
          <w:szCs w:val="44"/>
          <w:shd w:val="clear" w:color="auto" w:fill="FFFFFF"/>
        </w:rPr>
      </w:pPr>
      <w:r>
        <w:rPr>
          <w:rFonts w:hint="eastAsia" w:ascii="CESI小标宋-GB2312" w:hAnsi="CESI小标宋-GB2312" w:eastAsia="CESI小标宋-GB2312" w:cs="CESI小标宋-GB2312"/>
          <w:color w:val="333333"/>
          <w:sz w:val="44"/>
          <w:szCs w:val="44"/>
          <w:shd w:val="clear" w:color="auto" w:fill="FFFFFF"/>
        </w:rPr>
        <w:t>浙江省人民政府办公厅关于切实加强地质灾害综合防治工作的意见</w:t>
      </w:r>
    </w:p>
    <w:p>
      <w:pPr>
        <w:spacing w:line="600" w:lineRule="exact"/>
        <w:ind w:left="-112" w:leftChars="-67" w:right="-432" w:rightChars="-135" w:hanging="102" w:hangingChars="32"/>
        <w:jc w:val="center"/>
        <w:rPr>
          <w:rFonts w:hint="eastAsia" w:ascii="CESI楷体-GB2312" w:hAnsi="CESI楷体-GB2312" w:eastAsia="CESI楷体-GB2312" w:cs="CESI楷体-GB2312"/>
          <w:kern w:val="0"/>
          <w:sz w:val="32"/>
          <w:szCs w:val="40"/>
        </w:rPr>
      </w:pPr>
      <w:r>
        <w:rPr>
          <w:rFonts w:hint="eastAsia" w:ascii="CESI楷体-GB2312" w:hAnsi="CESI楷体-GB2312" w:eastAsia="CESI楷体-GB2312" w:cs="CESI楷体-GB2312"/>
          <w:kern w:val="0"/>
          <w:sz w:val="32"/>
          <w:szCs w:val="40"/>
        </w:rPr>
        <w:t>（2022年修订</w:t>
      </w:r>
      <w:r>
        <w:rPr>
          <w:rFonts w:hint="eastAsia" w:ascii="CESI楷体-GB2312" w:hAnsi="CESI楷体-GB2312" w:eastAsia="CESI楷体-GB2312" w:cs="CESI楷体-GB2312"/>
          <w:kern w:val="0"/>
          <w:sz w:val="32"/>
          <w:szCs w:val="40"/>
          <w:lang w:eastAsia="zh-CN"/>
        </w:rPr>
        <w:t>，</w:t>
      </w:r>
      <w:r>
        <w:rPr>
          <w:rFonts w:hint="eastAsia" w:ascii="CESI楷体-GB2312" w:hAnsi="CESI楷体-GB2312" w:eastAsia="CESI楷体-GB2312" w:cs="CESI楷体-GB2312"/>
          <w:kern w:val="0"/>
          <w:sz w:val="32"/>
          <w:szCs w:val="40"/>
          <w:lang w:val="en-US" w:eastAsia="zh-CN"/>
        </w:rPr>
        <w:t>征求意见稿</w:t>
      </w:r>
      <w:r>
        <w:rPr>
          <w:rFonts w:hint="eastAsia" w:ascii="CESI楷体-GB2312" w:hAnsi="CESI楷体-GB2312" w:eastAsia="CESI楷体-GB2312" w:cs="CESI楷体-GB2312"/>
          <w:kern w:val="0"/>
          <w:sz w:val="32"/>
          <w:szCs w:val="40"/>
          <w:lang w:eastAsia="zh-CN"/>
        </w:rPr>
        <w:t>）</w:t>
      </w:r>
    </w:p>
    <w:p>
      <w:pPr>
        <w:pStyle w:val="9"/>
        <w:shd w:val="clear" w:color="auto" w:fill="FFFFFF"/>
        <w:overflowPunct w:val="0"/>
        <w:adjustRightInd w:val="0"/>
        <w:snapToGrid w:val="0"/>
        <w:spacing w:beforeAutospacing="0" w:afterAutospacing="0" w:line="600" w:lineRule="exact"/>
        <w:ind w:firstLine="0" w:firstLineChars="0"/>
        <w:rPr>
          <w:rFonts w:cs="微软雅黑"/>
          <w:color w:val="333333"/>
          <w:sz w:val="32"/>
          <w:szCs w:val="32"/>
          <w:shd w:val="clear" w:color="auto" w:fill="FFFFFF"/>
        </w:rPr>
      </w:pPr>
    </w:p>
    <w:p>
      <w:pPr>
        <w:pStyle w:val="9"/>
        <w:shd w:val="clear" w:color="auto" w:fill="FFFFFF"/>
        <w:overflowPunct w:val="0"/>
        <w:adjustRightInd w:val="0"/>
        <w:snapToGrid w:val="0"/>
        <w:spacing w:beforeAutospacing="0" w:afterAutospacing="0" w:line="600" w:lineRule="exact"/>
        <w:ind w:firstLine="0" w:firstLineChars="0"/>
        <w:rPr>
          <w:rFonts w:cs="微软雅黑"/>
          <w:color w:val="333333"/>
          <w:sz w:val="32"/>
          <w:szCs w:val="32"/>
        </w:rPr>
      </w:pPr>
      <w:r>
        <w:rPr>
          <w:rFonts w:hint="eastAsia" w:cs="微软雅黑"/>
          <w:color w:val="333333"/>
          <w:sz w:val="32"/>
          <w:szCs w:val="32"/>
          <w:shd w:val="clear" w:color="auto" w:fill="FFFFFF"/>
        </w:rPr>
        <w:t>各市、县（市、区）人民政府，省政府直属各单位：</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rPr>
      </w:pPr>
      <w:r>
        <w:rPr>
          <w:rFonts w:hint="eastAsia" w:cs="微软雅黑"/>
          <w:color w:val="333333"/>
          <w:sz w:val="32"/>
          <w:szCs w:val="32"/>
          <w:shd w:val="clear" w:color="auto" w:fill="FFFFFF"/>
        </w:rPr>
        <w:t>为进一步完善地质灾害防治体制机制，不断提升地质灾害综合防治水平，有效防范化解重大地质灾害风险，保障人民群众生命财产安全，经省政府同意，现</w:t>
      </w:r>
      <w:bookmarkStart w:id="1" w:name="_GoBack"/>
      <w:bookmarkEnd w:id="1"/>
      <w:r>
        <w:rPr>
          <w:rFonts w:hint="eastAsia" w:cs="微软雅黑"/>
          <w:color w:val="333333"/>
          <w:sz w:val="32"/>
          <w:szCs w:val="32"/>
          <w:shd w:val="clear" w:color="auto" w:fill="FFFFFF"/>
        </w:rPr>
        <w:t>就切实加强地质灾害综合防治工作提出如下意见：</w:t>
      </w:r>
    </w:p>
    <w:p>
      <w:pPr>
        <w:pStyle w:val="9"/>
        <w:shd w:val="clear" w:color="auto" w:fill="FFFFFF"/>
        <w:overflowPunct w:val="0"/>
        <w:adjustRightInd w:val="0"/>
        <w:snapToGrid w:val="0"/>
        <w:spacing w:beforeAutospacing="0" w:afterAutospacing="0" w:line="600" w:lineRule="exact"/>
        <w:ind w:firstLine="64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一、总体要求</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（一）指导思想。</w:t>
      </w:r>
      <w:r>
        <w:rPr>
          <w:rFonts w:hint="eastAsia" w:cs="微软雅黑"/>
          <w:color w:val="333333"/>
          <w:sz w:val="32"/>
          <w:szCs w:val="32"/>
          <w:shd w:val="clear" w:color="auto" w:fill="FFFFFF"/>
        </w:rPr>
        <w:t>以习近平新时代中国特色社会主义思想为指导，深入贯彻落实习近平总书记“两个坚持、三个转变”等防灾减灾救灾工作系列重要论述精神，坚持人民至上、生命至上，牢固树立“一个目标、三个不怕、四个宁可”重要理念，不断完善地质灾害防治体制机制，充分依靠科技进步和管理创新，进一步健全地质灾害风险隐患识别、监测预警、应急处置、综合治理工作体系，切实提升地质灾害科学防控能力，做到地质灾害隐患即查即治、地质灾害风险有效管控，切实保障人民群众生命财产安全，为实现“两个先行”奋斗目标提供坚实的地质安全保障。</w:t>
      </w:r>
    </w:p>
    <w:p>
      <w:pPr>
        <w:pStyle w:val="9"/>
        <w:shd w:val="clear" w:color="auto" w:fill="FFFFFF"/>
        <w:overflowPunct w:val="0"/>
        <w:adjustRightInd w:val="0"/>
        <w:snapToGrid w:val="0"/>
        <w:spacing w:beforeAutospacing="0" w:afterAutospacing="0" w:line="600" w:lineRule="exact"/>
        <w:ind w:firstLine="640"/>
        <w:jc w:val="both"/>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（二）基本原则。</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——坚持以人为本、保障安全。 把人民群众生命财产安全作为地质灾害防治工作的出发点和落脚点，加快实施地质灾害隐患点的综合治理，实现全省避灾安置场所服务保障全覆盖，防控地质 灾害风险，努力把地质灾害威胁降到最低程度。</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坚持属地管理、齐抓共管。强化市、县（市、区）政府的地质灾害防治主体责任，负责消除地质灾害隐患，实施综合治理计划，落实避让搬迁和工程治理任务，相关部门分工协作，全社会共同参与做好地质灾害防治工作。</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——坚持应搬必搬、综合治理。 对受地质灾害威胁的群众，坚持应搬必搬，按照轻重缓急，有序实施避让搬迁，从根本上消除地质灾害威胁。</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——坚持即查即治、不欠新账。强化地质灾害隐患排查、巡查，对新发生、发现的隐患点或灾情险情及时组织综合治理，对完成综合治理的隐患点及时销号，不欠新账。</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——坚持数智赋能、闭环管理。强化科技创新引领支撑作用，推动常规方法与云计算、大数据、人工智能等现代科学技术有机融合，完善地质灾害防治技术标准，强化地质灾害风险隐患闭环管理。</w:t>
      </w:r>
    </w:p>
    <w:p>
      <w:pPr>
        <w:pStyle w:val="9"/>
        <w:shd w:val="clear" w:color="auto" w:fill="FFFFFF"/>
        <w:overflowPunct w:val="0"/>
        <w:adjustRightInd w:val="0"/>
        <w:snapToGrid w:val="0"/>
        <w:spacing w:beforeAutospacing="0" w:afterAutospacing="0" w:line="600" w:lineRule="exact"/>
        <w:ind w:firstLine="64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二、工作措施</w:t>
      </w:r>
    </w:p>
    <w:p>
      <w:pPr>
        <w:pStyle w:val="9"/>
        <w:shd w:val="clear" w:color="auto" w:fill="FFFFFF"/>
        <w:overflowPunct w:val="0"/>
        <w:adjustRightInd w:val="0"/>
        <w:snapToGrid w:val="0"/>
        <w:spacing w:beforeAutospacing="0" w:afterAutospacing="0" w:line="600" w:lineRule="exact"/>
        <w:ind w:firstLine="640"/>
        <w:jc w:val="both"/>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（一）加快推进地质灾害避让搬迁。</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1．摸清避让搬迁工作底数。各市、县（市、区）要全面开展地质灾害隐患排查，进一步核实隐患点和受威胁人数，明确避让搬迁 项目，制定具体实施计划。</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2．落实避让搬迁工作责任。各级政府是本行政区域地质灾害防治责任主体，政府主要领导是地质灾害防治的第一责任人。 各县（市、区）政府要切实履行主体责任，将避让搬迁目标任务层层分解到乡镇（街道）、村，落实责任单位和责任人；及时组织有关部门编制搬迁安置方案，明确搬迁范围、安置地点、补助标准等，编制搬迁安置方案应充分听取村（居）民委员会、村（居）民的意见，并在搬迁前向社会公布。乡镇（街道）要切实做好搬迁安置方案的落实，加强对搬迁安置点的选址评估，确保搬迁安置点安全。 应事前与避让搬迁的村（居）民签订搬迁安置协议，就搬迁安置事项作出明确约定，及时做好搬迁户旧房的拆除工作，杜绝隐患。</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3．创新安置方式。各市、县（市、区）政府要结合新型城镇化、小城镇环境综合整治、美丽乡村建设等，统筹安排安置区块，整合相关扶持政策，引导群众向县城、中心镇、中心村集聚。 积极推行公寓式安置，鼓励推行货币化补助安置、公租房安置等多种形式，满足群众多样化需求。</w:t>
      </w:r>
    </w:p>
    <w:p>
      <w:pPr>
        <w:pStyle w:val="9"/>
        <w:shd w:val="clear" w:color="auto" w:fill="FFFFFF"/>
        <w:overflowPunct w:val="0"/>
        <w:adjustRightInd w:val="0"/>
        <w:snapToGrid w:val="0"/>
        <w:spacing w:beforeAutospacing="0" w:afterAutospacing="0" w:line="600" w:lineRule="exact"/>
        <w:ind w:firstLine="640"/>
        <w:jc w:val="both"/>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（二）科学开展地质灾害工程治理。</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1．合理确定治理项目。对治理技术可行、经济合理、风险可控的地质灾害隐患点，采取工程措施消除隐患。市、县（市、区）政府要根据实际情况，制定治理计划，分期分批落实治理任务。</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2．分类实施工程治理。 对规模较小、可以通过应急排险消除危险的，由乡镇（街道）政府直接组织处置；对规模较小、通过应急排险不能消除危险的，经县级以上政府同意，在充分调查的基础 上，由乡镇（街道）政府（办事处）组织有资质单位直接制定应急治理方案并予以实施；对规模大、受威胁人数多、排险处置后难以消除危险的，按照地质灾害治理工程勘查、设计、施工、监理程序组织实施。</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3．加强工程质量监管。严格执行地质灾害治理工程招投标制度，优选治理工程实施单位，科学设计，精心施工。各市、县（市、区）政府要切实加强地质灾害治理工程质量管理，建立健全治理 工程质量监督检验制度，严格监管，确保工程质量。 督促施工单位做好地质灾害监测预警工作，确保施工安全。</w:t>
      </w:r>
    </w:p>
    <w:p>
      <w:pPr>
        <w:pStyle w:val="9"/>
        <w:shd w:val="clear" w:color="auto" w:fill="FFFFFF"/>
        <w:overflowPunct w:val="0"/>
        <w:adjustRightInd w:val="0"/>
        <w:snapToGrid w:val="0"/>
        <w:spacing w:beforeAutospacing="0" w:afterAutospacing="0" w:line="600" w:lineRule="exact"/>
        <w:ind w:firstLine="640"/>
        <w:jc w:val="both"/>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（三）切实加强应急防范。</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1．完善应急预案。市县乡三级政府对地质灾害隐患点和重点地质灾害风险防范区要编制应急预案，及时发放防灾避险明白卡，结合当地避灾安置点，每年至少组织1次应急演练，不断提高应急避险能力。</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2．加强监测预警。各地要按照“省级预报到县、市级预报到乡、县级预警到村”的要求，构建自然资源、气象、水利、应急管理等部门联合的地质灾害风险预报预警体系，提高预警信息发布的针对性和时效性。进一步完善全覆盖的地质灾害群测群防监测网络，更好地发挥群测群防人员在巡查监测预警方面的作用，健全重大地质灾害隐患专业监测网络，切实提升监测预警 水平。</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3．有序快速组织临灾避险。建立健全群众应急避险转移机制，对出现灾害前兆、可能造成人员伤亡的危险区域，第一时间组织群众有序安全转移；情况紧急时，可强行组织避灾疏散，险情解除前要阻止被转移群众擅自返回。加强地质灾害避灾安置点建设，完善避灾安置点的功能，保证物资供应，保障避灾群众基本生活需要。</w:t>
      </w:r>
    </w:p>
    <w:p>
      <w:pPr>
        <w:pStyle w:val="9"/>
        <w:shd w:val="clear" w:color="auto" w:fill="FFFFFF"/>
        <w:overflowPunct w:val="0"/>
        <w:adjustRightInd w:val="0"/>
        <w:snapToGrid w:val="0"/>
        <w:spacing w:beforeAutospacing="0" w:afterAutospacing="0" w:line="600" w:lineRule="exact"/>
        <w:ind w:firstLine="640"/>
        <w:jc w:val="both"/>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（四）不断提升基层防灾能力。</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1．强化风险隐患动态管理。建立地质灾害风险隐患“属地负责、专业调查、统一入库、动态监管”制度，县级自然资源主管部门会同有关单位组织专业队伍开展地质灾害调查、排查，及时确认地质灾害隐患点、划定风险防范区，录入全省地质灾害隐患点数据库和风险防范区数据库。乡镇（街道）、村要加强对地质灾害避让搬迁项目实施过程中的巡查，密切关注隐患动态变化情况。 对完成综合治理、已消除隐患的点，按照分级核销的要求，及时销号。省自然资源主管部门负责威胁100人以上隐患点的核销，市自然资源主管部门负责30人以上、不到100人隐患点的核销，县自然资源主管部门负责不到30人隐患点的核销。</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2．加强基层基础管理。逐步开展以地质灾害高、中易发区乡镇为重点的1:2000地质灾害风险区划。加强群测群防队伍建设，及时调整充实群测群防员队伍，加强防灾知识培训，不断提高识灾、防灾和救灾能力。</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3．提升基层实战水平。有突发性地质灾害防治任务的市、县（市、区）政府要建立健全与本地区地质灾害防治任务相适应的专业监测、应急管理和技术保障队伍，加大资源整合和经费保障力 度，确保各项工作正常开展。 要加快建立地质灾害应急中心，配强与防灾要求相适应的专业技术人员和应急车辆、通信、专业设备 等，提升地质灾害调查评价、监测预警和应急防治能力。 加强避灾安置点服务保障能力，确保转移群众转得进、容得下、住得牢。</w:t>
      </w:r>
    </w:p>
    <w:p>
      <w:pPr>
        <w:pStyle w:val="9"/>
        <w:shd w:val="clear" w:color="auto" w:fill="FFFFFF"/>
        <w:overflowPunct w:val="0"/>
        <w:adjustRightInd w:val="0"/>
        <w:snapToGrid w:val="0"/>
        <w:spacing w:beforeAutospacing="0" w:afterAutospacing="0" w:line="600" w:lineRule="exact"/>
        <w:ind w:firstLine="64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三、进一步强化政策支持</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（一）强化用地保障。</w:t>
      </w:r>
      <w:r>
        <w:rPr>
          <w:rFonts w:hint="eastAsia" w:cs="微软雅黑"/>
          <w:color w:val="333333"/>
          <w:sz w:val="32"/>
          <w:szCs w:val="32"/>
          <w:shd w:val="clear" w:color="auto" w:fill="FFFFFF"/>
        </w:rPr>
        <w:t>加大对地质灾害避让搬迁用地指标和空间保障力度，避让搬迁新增建设用地指标按人均８0平方米标准下达；规划确需调整的，允许使用地方规划新增建设用地预留指 标，或者在县域内跨乡镇进行有条件建设区土地规划用途调整和乡级规划预留新增建设用地指标调整。地质灾害避让搬迁宅基地复垦后，产生的增减挂钩节余指标收益优先用于避让搬迁。 对新建地质灾害避灾安置点的建设，应保障其用地。</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（二）加大资金支持力度。</w:t>
      </w:r>
      <w:r>
        <w:rPr>
          <w:rFonts w:hint="eastAsia" w:cs="微软雅黑"/>
          <w:color w:val="333333"/>
          <w:sz w:val="32"/>
          <w:szCs w:val="32"/>
          <w:shd w:val="clear" w:color="auto" w:fill="FFFFFF"/>
        </w:rPr>
        <w:t>各市、县（市、区）要统筹农民异地搬迁、国家农村困难群众住房救助（危旧房改造）、农村环境综合整治和新农村建设等补助政策，加大地质灾害避让搬迁支持力度。 省财政对淳安等山区26县和台州市黄岩区、金华市婺城区、兰溪市有关乡镇地质灾害避让搬迁中建档立卡的低收入农户按人均30000元标准、其他农户按人均15000元标准补助，由所在县（市、区）统筹用于地质灾害避让搬迁安置等支出，市、县（市、区）制订分类标准并实施；其他县（市、区）由各地根据实际自行制订补助标准。鼓励实行差别化的补助政策，引导群众向县城、中心镇、中心村集聚。地质灾害重点防治县（市、区）重大地质灾害工程治理和专业监测经费，省财政以转移支付的方式给予支持。 地质灾害避让搬迁农民建房相关规费，按照有关法规政策规定应免尽免。</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（三）加大社会化筹资力度。</w:t>
      </w:r>
      <w:r>
        <w:rPr>
          <w:rFonts w:hint="eastAsia" w:cs="微软雅黑"/>
          <w:color w:val="333333"/>
          <w:sz w:val="32"/>
          <w:szCs w:val="32"/>
          <w:shd w:val="clear" w:color="auto" w:fill="FFFFFF"/>
        </w:rPr>
        <w:t>在进一步引导和动员群众自筹互助的同时，加大金融机构支持避让搬迁力度，为地质灾害避让搬 迁群众开辟办贷绿色通道；落实困难群众搬迁建（购）房贴息贷款政策，实现困难群众同步搬迁。 鼓励社会各界以捐赠的方式，支持低收入农户避让搬迁。探索建立地质灾害易发区农村住房保险制度。</w:t>
      </w:r>
    </w:p>
    <w:p>
      <w:pPr>
        <w:pStyle w:val="9"/>
        <w:shd w:val="clear" w:color="auto" w:fill="FFFFFF"/>
        <w:overflowPunct w:val="0"/>
        <w:adjustRightInd w:val="0"/>
        <w:snapToGrid w:val="0"/>
        <w:spacing w:beforeAutospacing="0" w:afterAutospacing="0" w:line="600" w:lineRule="exact"/>
        <w:ind w:firstLine="64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四、切实加强组织领导</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（一）加强组织领导。</w:t>
      </w:r>
      <w:r>
        <w:rPr>
          <w:rFonts w:hint="eastAsia" w:cs="微软雅黑"/>
          <w:color w:val="333333"/>
          <w:sz w:val="32"/>
          <w:szCs w:val="32"/>
          <w:shd w:val="clear" w:color="auto" w:fill="FFFFFF"/>
        </w:rPr>
        <w:t>为切实加强对地质灾害综合防治工作的领导，成立省地质灾害应急与防治工作联席会议，具体负责全省地 质灾害防治工作的组织实施、监督考核等工作。 省级有关部门要切实加强对全省地质灾害防治研究，指导市、县（市、区）做好地质灾害防治工作。</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（二）加强部门协作。</w:t>
      </w:r>
      <w:r>
        <w:rPr>
          <w:rFonts w:hint="eastAsia" w:cs="微软雅黑"/>
          <w:color w:val="333333"/>
          <w:sz w:val="32"/>
          <w:szCs w:val="32"/>
          <w:shd w:val="clear" w:color="auto" w:fill="FFFFFF"/>
        </w:rPr>
        <w:t>省级有关部门要按照有关工作分工要求，各负其责、密切协作，共同做好地质灾害综合防治工作。 省自然资源厅要切实做好避让搬迁安置用地保障，隐患点动态管理，避 灾安置点选址建议和地质灾害防治制度建设等工作；省农业农村厅要继续按照农民异地搬迁工作要求，加强对地质灾害避让搬迁项目的管理；省财政厅要落实地质灾害防治专项资金并加强资金监管；省应急管理厅要加强避灾安置点建设和管理，提升其服务保障能力；省建设厅要加强对农民建房、避灾安置点用房质量监 管；省地质院要强化对地质灾害防治的技术支撑；其他部门都要积 极参与和支持地质灾害防治工作。</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（三）加强监督考核。</w:t>
      </w:r>
      <w:r>
        <w:rPr>
          <w:rFonts w:hint="eastAsia" w:cs="微软雅黑"/>
          <w:color w:val="333333"/>
          <w:sz w:val="32"/>
          <w:szCs w:val="32"/>
          <w:shd w:val="clear" w:color="auto" w:fill="FFFFFF"/>
        </w:rPr>
        <w:t>省政府将对市、县（市、区）政府地质灾害综合防治工作加强考核监督，每年下达年度目标任务，实行月报 进度、季度通报、年度考核。对在地质灾害防范和处置中玩忽职守，致使工作不到位，造成重大人员伤亡和财产损失的，依法依规追究相关责任人的责任。</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（四）加强宣传教育。</w:t>
      </w:r>
      <w:r>
        <w:rPr>
          <w:rFonts w:hint="eastAsia" w:cs="微软雅黑"/>
          <w:color w:val="333333"/>
          <w:sz w:val="32"/>
          <w:szCs w:val="32"/>
          <w:shd w:val="clear" w:color="auto" w:fill="FFFFFF"/>
        </w:rPr>
        <w:t>各市、县（市、区）要积极开展地质灾害防治科普宣传教育，提高群众识灾、防灾意识，增强群众避让搬迁的自觉性。地质灾害易发区的县（市、区）政府要定期组织机关干部、基层组织负责人和骨干群众参加地质灾害防治知识培训，加强 对中小学生地质灾害防治知识的教育和技能演练，提高安全意识和自救、互救能力。 新闻媒体要加强地质灾害防治公益性宣传，营造群防群治地质灾害的良好氛围。</w:t>
      </w: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p>
    <w:p>
      <w:pPr>
        <w:pStyle w:val="9"/>
        <w:shd w:val="clear" w:color="auto" w:fill="FFFFFF"/>
        <w:overflowPunct w:val="0"/>
        <w:adjustRightInd w:val="0"/>
        <w:snapToGrid w:val="0"/>
        <w:spacing w:beforeAutospacing="0" w:afterAutospacing="0" w:line="600" w:lineRule="exact"/>
        <w:ind w:firstLine="640"/>
        <w:jc w:val="both"/>
        <w:rPr>
          <w:rFonts w:cs="微软雅黑"/>
          <w:color w:val="333333"/>
          <w:sz w:val="32"/>
          <w:szCs w:val="32"/>
          <w:shd w:val="clear" w:color="auto" w:fill="FFFFFF"/>
        </w:rPr>
      </w:pPr>
      <w:r>
        <w:rPr>
          <w:rFonts w:hint="eastAsia" w:cs="微软雅黑"/>
          <w:color w:val="333333"/>
          <w:sz w:val="32"/>
          <w:szCs w:val="32"/>
          <w:shd w:val="clear" w:color="auto" w:fill="FFFFFF"/>
        </w:rPr>
        <w:t>附件：浙江省突发性地质灾害防治县（市、区）名单</w:t>
      </w:r>
    </w:p>
    <w:p>
      <w:pPr>
        <w:pStyle w:val="9"/>
        <w:shd w:val="clear" w:color="auto" w:fill="FFFFFF"/>
        <w:overflowPunct w:val="0"/>
        <w:adjustRightInd w:val="0"/>
        <w:snapToGrid w:val="0"/>
        <w:spacing w:beforeAutospacing="0" w:afterAutospacing="0" w:line="600" w:lineRule="exact"/>
        <w:ind w:firstLine="640"/>
        <w:rPr>
          <w:rFonts w:cs="微软雅黑"/>
          <w:color w:val="333333"/>
          <w:sz w:val="32"/>
          <w:szCs w:val="32"/>
        </w:rPr>
      </w:pPr>
    </w:p>
    <w:p>
      <w:pPr>
        <w:pStyle w:val="9"/>
        <w:shd w:val="clear" w:color="auto" w:fill="FFFFFF"/>
        <w:overflowPunct w:val="0"/>
        <w:adjustRightInd w:val="0"/>
        <w:snapToGrid w:val="0"/>
        <w:spacing w:beforeAutospacing="0" w:afterAutospacing="0" w:line="600" w:lineRule="exact"/>
        <w:ind w:firstLine="640"/>
        <w:rPr>
          <w:rFonts w:cs="微软雅黑"/>
          <w:color w:val="333333"/>
          <w:sz w:val="32"/>
          <w:szCs w:val="32"/>
        </w:rPr>
      </w:pPr>
    </w:p>
    <w:p>
      <w:pPr>
        <w:pStyle w:val="9"/>
        <w:shd w:val="clear" w:color="auto" w:fill="FFFFFF"/>
        <w:overflowPunct w:val="0"/>
        <w:adjustRightInd w:val="0"/>
        <w:snapToGrid w:val="0"/>
        <w:spacing w:beforeAutospacing="0" w:afterAutospacing="0" w:line="600" w:lineRule="exact"/>
        <w:ind w:firstLine="640"/>
        <w:jc w:val="right"/>
        <w:rPr>
          <w:rFonts w:cs="微软雅黑"/>
          <w:color w:val="333333"/>
          <w:sz w:val="32"/>
          <w:szCs w:val="32"/>
        </w:rPr>
      </w:pPr>
      <w:r>
        <w:rPr>
          <w:rFonts w:hint="eastAsia" w:cs="微软雅黑"/>
          <w:color w:val="333333"/>
          <w:sz w:val="32"/>
          <w:szCs w:val="32"/>
          <w:shd w:val="clear" w:color="auto" w:fill="FFFFFF"/>
        </w:rPr>
        <w:t>浙江省人民政府办公厅</w:t>
      </w:r>
    </w:p>
    <w:p>
      <w:pPr>
        <w:pStyle w:val="9"/>
        <w:shd w:val="clear" w:color="auto" w:fill="FFFFFF"/>
        <w:overflowPunct w:val="0"/>
        <w:adjustRightInd w:val="0"/>
        <w:snapToGrid w:val="0"/>
        <w:spacing w:beforeAutospacing="0" w:afterAutospacing="0" w:line="600" w:lineRule="exact"/>
        <w:ind w:firstLine="640"/>
        <w:jc w:val="center"/>
        <w:rPr>
          <w:rFonts w:cs="微软雅黑"/>
          <w:color w:val="333333"/>
          <w:sz w:val="32"/>
          <w:szCs w:val="32"/>
        </w:rPr>
      </w:pPr>
      <w:r>
        <w:rPr>
          <w:rFonts w:hint="eastAsia" w:cs="微软雅黑"/>
          <w:color w:val="333333"/>
          <w:sz w:val="32"/>
          <w:szCs w:val="32"/>
          <w:shd w:val="clear" w:color="auto" w:fill="FFFFFF"/>
        </w:rPr>
        <w:t xml:space="preserve">                           2022年 月  日</w:t>
      </w:r>
    </w:p>
    <w:p>
      <w:pPr>
        <w:pStyle w:val="9"/>
        <w:shd w:val="clear" w:color="auto" w:fill="FFFFFF"/>
        <w:overflowPunct w:val="0"/>
        <w:adjustRightInd w:val="0"/>
        <w:snapToGrid w:val="0"/>
        <w:spacing w:beforeAutospacing="0" w:afterAutospacing="0" w:line="600" w:lineRule="exact"/>
        <w:ind w:firstLine="640"/>
        <w:rPr>
          <w:rFonts w:cs="微软雅黑"/>
          <w:color w:val="333333"/>
          <w:sz w:val="32"/>
          <w:szCs w:val="32"/>
          <w:shd w:val="clear" w:color="auto" w:fill="FFFFFF"/>
        </w:rPr>
      </w:pPr>
    </w:p>
    <w:p>
      <w:pPr>
        <w:pStyle w:val="9"/>
        <w:shd w:val="clear" w:color="auto" w:fill="FFFFFF"/>
        <w:overflowPunct w:val="0"/>
        <w:adjustRightInd w:val="0"/>
        <w:snapToGrid w:val="0"/>
        <w:spacing w:beforeAutospacing="0" w:afterAutospacing="0" w:line="600" w:lineRule="exact"/>
        <w:ind w:firstLine="0" w:firstLineChars="0"/>
        <w:rPr>
          <w:rFonts w:cs="微软雅黑"/>
          <w:color w:val="333333"/>
          <w:sz w:val="32"/>
          <w:szCs w:val="32"/>
          <w:shd w:val="clear" w:color="auto" w:fill="FFFFFF"/>
        </w:rPr>
      </w:pPr>
    </w:p>
    <w:p>
      <w:pPr>
        <w:pStyle w:val="9"/>
        <w:shd w:val="clear" w:color="auto" w:fill="FFFFFF"/>
        <w:overflowPunct w:val="0"/>
        <w:adjustRightInd w:val="0"/>
        <w:snapToGrid w:val="0"/>
        <w:spacing w:beforeAutospacing="0" w:afterAutospacing="0" w:line="600" w:lineRule="exact"/>
        <w:ind w:firstLine="0" w:firstLineChars="0"/>
        <w:rPr>
          <w:rFonts w:cs="微软雅黑"/>
          <w:color w:val="333333"/>
          <w:sz w:val="32"/>
          <w:szCs w:val="32"/>
          <w:shd w:val="clear" w:color="auto" w:fill="FFFFFF"/>
        </w:rPr>
      </w:pPr>
    </w:p>
    <w:p>
      <w:pPr>
        <w:overflowPunct w:val="0"/>
        <w:adjustRightInd w:val="0"/>
        <w:snapToGrid w:val="0"/>
        <w:spacing w:line="600" w:lineRule="exact"/>
        <w:ind w:firstLine="0" w:firstLineChars="0"/>
        <w:rPr>
          <w:szCs w:val="32"/>
        </w:rPr>
      </w:pPr>
      <w:r>
        <w:rPr>
          <w:rFonts w:hint="eastAsia" w:cs="微软雅黑"/>
          <w:color w:val="333333"/>
          <w:szCs w:val="32"/>
          <w:shd w:val="clear" w:color="auto" w:fill="FFFFFF"/>
        </w:rPr>
        <w:t>附件</w:t>
      </w:r>
    </w:p>
    <w:p>
      <w:pPr>
        <w:spacing w:line="240" w:lineRule="auto"/>
        <w:ind w:firstLine="0" w:firstLineChars="0"/>
        <w:jc w:val="center"/>
        <w:rPr>
          <w:b/>
          <w:color w:val="000000"/>
          <w:sz w:val="40"/>
          <w:szCs w:val="44"/>
        </w:rPr>
      </w:pPr>
      <w:bookmarkStart w:id="0" w:name="_Hlk65504073"/>
      <w:r>
        <w:rPr>
          <w:rFonts w:eastAsia="方正小标宋简体"/>
          <w:bCs/>
          <w:color w:val="000000"/>
          <w:sz w:val="40"/>
          <w:szCs w:val="44"/>
        </w:rPr>
        <w:t>浙江省突发性地质灾害防治县（市、区）</w:t>
      </w:r>
      <w:bookmarkEnd w:id="0"/>
      <w:r>
        <w:rPr>
          <w:rFonts w:hint="eastAsia" w:eastAsia="方正小标宋简体"/>
          <w:bCs/>
          <w:color w:val="000000"/>
          <w:sz w:val="40"/>
          <w:szCs w:val="44"/>
        </w:rPr>
        <w:t>名单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782"/>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vAlign w:val="center"/>
          </w:tcPr>
          <w:p>
            <w:pPr>
              <w:spacing w:line="360" w:lineRule="exact"/>
              <w:ind w:firstLine="480"/>
              <w:jc w:val="center"/>
              <w:rPr>
                <w:rFonts w:eastAsia="黑体"/>
                <w:color w:val="000000"/>
                <w:sz w:val="24"/>
                <w:szCs w:val="24"/>
              </w:rPr>
            </w:pPr>
            <w:r>
              <w:rPr>
                <w:rFonts w:eastAsia="黑体"/>
                <w:color w:val="000000"/>
                <w:sz w:val="24"/>
                <w:szCs w:val="24"/>
              </w:rPr>
              <w:t>设区市</w:t>
            </w:r>
          </w:p>
        </w:tc>
        <w:tc>
          <w:tcPr>
            <w:tcW w:w="3782" w:type="dxa"/>
            <w:vAlign w:val="center"/>
          </w:tcPr>
          <w:p>
            <w:pPr>
              <w:spacing w:line="360" w:lineRule="exact"/>
              <w:ind w:firstLine="480"/>
              <w:jc w:val="center"/>
              <w:rPr>
                <w:rFonts w:eastAsia="黑体"/>
                <w:color w:val="000000"/>
                <w:sz w:val="24"/>
                <w:szCs w:val="24"/>
              </w:rPr>
            </w:pPr>
            <w:r>
              <w:rPr>
                <w:rFonts w:eastAsia="黑体"/>
                <w:color w:val="000000"/>
                <w:sz w:val="24"/>
                <w:szCs w:val="24"/>
              </w:rPr>
              <w:t>重点防治县（市、区）</w:t>
            </w:r>
          </w:p>
        </w:tc>
        <w:tc>
          <w:tcPr>
            <w:tcW w:w="3781" w:type="dxa"/>
            <w:vAlign w:val="center"/>
          </w:tcPr>
          <w:p>
            <w:pPr>
              <w:spacing w:line="360" w:lineRule="exact"/>
              <w:ind w:firstLine="480"/>
              <w:jc w:val="center"/>
              <w:rPr>
                <w:rFonts w:eastAsia="黑体"/>
                <w:color w:val="000000"/>
                <w:sz w:val="24"/>
                <w:szCs w:val="24"/>
              </w:rPr>
            </w:pPr>
            <w:r>
              <w:rPr>
                <w:rFonts w:eastAsia="黑体"/>
                <w:color w:val="000000"/>
                <w:sz w:val="24"/>
                <w:szCs w:val="24"/>
              </w:rPr>
              <w:t>一般防治县（市、区）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杭州市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富阳区、临安区、建德市、</w:t>
            </w:r>
          </w:p>
          <w:p>
            <w:pPr>
              <w:spacing w:line="240" w:lineRule="auto"/>
              <w:ind w:left="0" w:leftChars="0" w:right="0" w:rightChars="0" w:firstLine="0" w:firstLineChars="0"/>
              <w:jc w:val="left"/>
              <w:rPr>
                <w:color w:val="000000"/>
                <w:sz w:val="24"/>
                <w:szCs w:val="24"/>
              </w:rPr>
            </w:pPr>
            <w:r>
              <w:rPr>
                <w:color w:val="000000"/>
                <w:sz w:val="24"/>
                <w:szCs w:val="24"/>
              </w:rPr>
              <w:t>桐庐县、淳安县★</w:t>
            </w: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上城区、西湖区、滨江区、萧山区、余杭区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宁波市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余姚市、奉化区、宁海县</w:t>
            </w: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慈溪市、象山县、鄞州区、海曙区、镇海区、北仑区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温州市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瓯海区、瑞安市、乐清市、</w:t>
            </w:r>
          </w:p>
          <w:p>
            <w:pPr>
              <w:spacing w:line="240" w:lineRule="auto"/>
              <w:ind w:left="0" w:leftChars="0" w:right="0" w:rightChars="0" w:firstLine="0" w:firstLineChars="0"/>
              <w:jc w:val="left"/>
              <w:rPr>
                <w:color w:val="000000"/>
                <w:sz w:val="24"/>
                <w:szCs w:val="24"/>
              </w:rPr>
            </w:pPr>
            <w:r>
              <w:rPr>
                <w:color w:val="000000"/>
                <w:sz w:val="24"/>
                <w:szCs w:val="24"/>
              </w:rPr>
              <w:t>永嘉县★、平阳县★、苍南县★、</w:t>
            </w:r>
          </w:p>
          <w:p>
            <w:pPr>
              <w:spacing w:line="240" w:lineRule="auto"/>
              <w:ind w:left="0" w:leftChars="0" w:right="0" w:rightChars="0" w:firstLine="0" w:firstLineChars="0"/>
              <w:jc w:val="left"/>
              <w:rPr>
                <w:color w:val="000000"/>
                <w:sz w:val="24"/>
                <w:szCs w:val="24"/>
              </w:rPr>
            </w:pPr>
            <w:r>
              <w:rPr>
                <w:color w:val="000000"/>
                <w:sz w:val="24"/>
                <w:szCs w:val="24"/>
              </w:rPr>
              <w:t>文成县★、泰顺县★</w:t>
            </w: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鹿城区、龙湾区、洞头区、龙港市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湖州市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长兴县、安吉县</w:t>
            </w: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吴兴区、德清县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绍兴市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上虞区、诸暨市、嵊州市、</w:t>
            </w:r>
          </w:p>
          <w:p>
            <w:pPr>
              <w:spacing w:line="240" w:lineRule="auto"/>
              <w:ind w:left="0" w:leftChars="0" w:right="0" w:rightChars="0" w:firstLine="0" w:firstLineChars="0"/>
              <w:jc w:val="left"/>
              <w:rPr>
                <w:color w:val="000000"/>
                <w:sz w:val="24"/>
                <w:szCs w:val="24"/>
              </w:rPr>
            </w:pPr>
            <w:r>
              <w:rPr>
                <w:color w:val="000000"/>
                <w:sz w:val="24"/>
                <w:szCs w:val="24"/>
              </w:rPr>
              <w:t>新昌县</w:t>
            </w: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越城区、柯桥区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金华市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婺城区</w:t>
            </w:r>
            <w:r>
              <w:rPr>
                <w:rFonts w:hint="eastAsia"/>
                <w:color w:val="000000"/>
                <w:sz w:val="24"/>
                <w:szCs w:val="24"/>
              </w:rPr>
              <w:t>☆</w:t>
            </w:r>
            <w:r>
              <w:rPr>
                <w:color w:val="000000"/>
                <w:sz w:val="24"/>
                <w:szCs w:val="24"/>
              </w:rPr>
              <w:t>、义乌市、东阳市、</w:t>
            </w:r>
          </w:p>
          <w:p>
            <w:pPr>
              <w:spacing w:line="240" w:lineRule="auto"/>
              <w:ind w:left="0" w:leftChars="0" w:right="0" w:rightChars="0" w:firstLine="0" w:firstLineChars="0"/>
              <w:jc w:val="left"/>
              <w:rPr>
                <w:color w:val="000000"/>
                <w:sz w:val="24"/>
                <w:szCs w:val="24"/>
              </w:rPr>
            </w:pPr>
            <w:r>
              <w:rPr>
                <w:color w:val="000000"/>
                <w:sz w:val="24"/>
                <w:szCs w:val="24"/>
              </w:rPr>
              <w:t>永康市、兰溪市</w:t>
            </w:r>
            <w:r>
              <w:rPr>
                <w:rFonts w:hint="eastAsia"/>
                <w:color w:val="000000"/>
                <w:sz w:val="24"/>
                <w:szCs w:val="24"/>
              </w:rPr>
              <w:t>☆</w:t>
            </w:r>
            <w:r>
              <w:rPr>
                <w:color w:val="000000"/>
                <w:sz w:val="24"/>
                <w:szCs w:val="24"/>
              </w:rPr>
              <w:t>、浦江县、</w:t>
            </w:r>
          </w:p>
          <w:p>
            <w:pPr>
              <w:spacing w:line="240" w:lineRule="auto"/>
              <w:ind w:left="0" w:leftChars="0" w:right="0" w:rightChars="0" w:firstLine="0" w:firstLineChars="0"/>
              <w:jc w:val="left"/>
              <w:rPr>
                <w:color w:val="000000"/>
                <w:sz w:val="24"/>
                <w:szCs w:val="24"/>
              </w:rPr>
            </w:pPr>
            <w:r>
              <w:rPr>
                <w:color w:val="000000"/>
                <w:sz w:val="24"/>
                <w:szCs w:val="24"/>
              </w:rPr>
              <w:t>武义县★、磐安县★</w:t>
            </w: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金东区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衢州市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柯城区★、衢江区★、龙游县★、</w:t>
            </w:r>
          </w:p>
          <w:p>
            <w:pPr>
              <w:spacing w:line="240" w:lineRule="auto"/>
              <w:ind w:left="0" w:leftChars="0" w:right="0" w:rightChars="0" w:firstLine="0" w:firstLineChars="0"/>
              <w:jc w:val="left"/>
              <w:rPr>
                <w:color w:val="000000"/>
                <w:sz w:val="24"/>
                <w:szCs w:val="24"/>
              </w:rPr>
            </w:pPr>
            <w:r>
              <w:rPr>
                <w:color w:val="000000"/>
                <w:sz w:val="24"/>
                <w:szCs w:val="24"/>
              </w:rPr>
              <w:t>江山市★、常山县★、开化县★</w:t>
            </w:r>
          </w:p>
        </w:tc>
        <w:tc>
          <w:tcPr>
            <w:tcW w:w="3781" w:type="dxa"/>
            <w:vAlign w:val="center"/>
          </w:tcPr>
          <w:p>
            <w:pPr>
              <w:spacing w:line="240" w:lineRule="auto"/>
              <w:ind w:left="0" w:leftChars="0" w:right="0" w:rightChars="0" w:firstLine="0" w:firstLineChars="0"/>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舟山市</w:t>
            </w:r>
          </w:p>
        </w:tc>
        <w:tc>
          <w:tcPr>
            <w:tcW w:w="3782" w:type="dxa"/>
            <w:vAlign w:val="center"/>
          </w:tcPr>
          <w:p>
            <w:pPr>
              <w:spacing w:line="240" w:lineRule="auto"/>
              <w:ind w:left="0" w:leftChars="0" w:right="0" w:rightChars="0" w:firstLine="0" w:firstLineChars="0"/>
              <w:jc w:val="left"/>
              <w:rPr>
                <w:color w:val="000000"/>
                <w:sz w:val="24"/>
                <w:szCs w:val="24"/>
              </w:rPr>
            </w:pP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定海区、普陀区、岱山县、</w:t>
            </w:r>
          </w:p>
          <w:p>
            <w:pPr>
              <w:spacing w:line="240" w:lineRule="auto"/>
              <w:ind w:left="0" w:leftChars="0" w:right="0" w:rightChars="0" w:firstLine="0" w:firstLineChars="0"/>
              <w:jc w:val="left"/>
              <w:rPr>
                <w:color w:val="000000"/>
                <w:sz w:val="24"/>
                <w:szCs w:val="24"/>
              </w:rPr>
            </w:pPr>
            <w:r>
              <w:rPr>
                <w:color w:val="000000"/>
                <w:sz w:val="24"/>
                <w:szCs w:val="24"/>
              </w:rPr>
              <w:t>嵊泗县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台州市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黄岩区</w:t>
            </w:r>
            <w:r>
              <w:rPr>
                <w:rFonts w:hint="eastAsia"/>
                <w:color w:val="000000"/>
                <w:sz w:val="24"/>
                <w:szCs w:val="24"/>
              </w:rPr>
              <w:t>☆</w:t>
            </w:r>
            <w:r>
              <w:rPr>
                <w:color w:val="000000"/>
                <w:sz w:val="24"/>
                <w:szCs w:val="24"/>
              </w:rPr>
              <w:t>、临海市、天台县★、</w:t>
            </w:r>
          </w:p>
          <w:p>
            <w:pPr>
              <w:spacing w:line="240" w:lineRule="auto"/>
              <w:ind w:left="0" w:leftChars="0" w:right="0" w:rightChars="0" w:firstLine="0" w:firstLineChars="0"/>
              <w:jc w:val="left"/>
              <w:rPr>
                <w:color w:val="000000"/>
                <w:sz w:val="24"/>
                <w:szCs w:val="24"/>
              </w:rPr>
            </w:pPr>
            <w:r>
              <w:rPr>
                <w:color w:val="000000"/>
                <w:sz w:val="24"/>
                <w:szCs w:val="24"/>
              </w:rPr>
              <w:t>仙居县★、三门县★</w:t>
            </w:r>
          </w:p>
        </w:tc>
        <w:tc>
          <w:tcPr>
            <w:tcW w:w="3781" w:type="dxa"/>
            <w:vAlign w:val="center"/>
          </w:tcPr>
          <w:p>
            <w:pPr>
              <w:spacing w:line="240" w:lineRule="auto"/>
              <w:ind w:left="0" w:leftChars="0" w:right="0" w:rightChars="0" w:firstLine="0" w:firstLineChars="0"/>
              <w:jc w:val="left"/>
              <w:rPr>
                <w:color w:val="000000"/>
                <w:sz w:val="24"/>
                <w:szCs w:val="24"/>
              </w:rPr>
            </w:pPr>
            <w:r>
              <w:rPr>
                <w:color w:val="000000"/>
                <w:sz w:val="24"/>
                <w:szCs w:val="24"/>
              </w:rPr>
              <w:t>椒江区、路桥区、温岭市、玉环市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tcBorders>
              <w:top w:val="single" w:color="auto" w:sz="4" w:space="0"/>
              <w:bottom w:val="single" w:color="auto" w:sz="4" w:space="0"/>
              <w:right w:val="single" w:color="auto" w:sz="4" w:space="0"/>
            </w:tcBorders>
            <w:vAlign w:val="center"/>
          </w:tcPr>
          <w:p>
            <w:pPr>
              <w:spacing w:line="360" w:lineRule="exact"/>
              <w:ind w:left="-74" w:leftChars="-23" w:right="-96" w:rightChars="-30" w:firstLine="55" w:firstLineChars="23"/>
              <w:jc w:val="center"/>
              <w:rPr>
                <w:color w:val="000000"/>
                <w:sz w:val="24"/>
                <w:szCs w:val="24"/>
              </w:rPr>
            </w:pPr>
            <w:r>
              <w:rPr>
                <w:color w:val="000000"/>
                <w:sz w:val="24"/>
                <w:szCs w:val="24"/>
              </w:rPr>
              <w:t>丽水市★</w:t>
            </w:r>
          </w:p>
        </w:tc>
        <w:tc>
          <w:tcPr>
            <w:tcW w:w="3782" w:type="dxa"/>
            <w:vAlign w:val="center"/>
          </w:tcPr>
          <w:p>
            <w:pPr>
              <w:spacing w:line="240" w:lineRule="auto"/>
              <w:ind w:left="0" w:leftChars="0" w:right="0" w:rightChars="0" w:firstLine="0" w:firstLineChars="0"/>
              <w:jc w:val="left"/>
              <w:rPr>
                <w:color w:val="000000"/>
                <w:sz w:val="24"/>
                <w:szCs w:val="24"/>
              </w:rPr>
            </w:pPr>
            <w:r>
              <w:rPr>
                <w:color w:val="000000"/>
                <w:sz w:val="24"/>
                <w:szCs w:val="24"/>
              </w:rPr>
              <w:t>莲都区★、龙泉市★、青田县★、</w:t>
            </w:r>
          </w:p>
          <w:p>
            <w:pPr>
              <w:spacing w:line="240" w:lineRule="auto"/>
              <w:ind w:left="0" w:leftChars="0" w:right="0" w:rightChars="0" w:firstLine="0" w:firstLineChars="0"/>
              <w:jc w:val="left"/>
              <w:rPr>
                <w:color w:val="000000"/>
                <w:sz w:val="24"/>
                <w:szCs w:val="24"/>
              </w:rPr>
            </w:pPr>
            <w:r>
              <w:rPr>
                <w:color w:val="000000"/>
                <w:sz w:val="24"/>
                <w:szCs w:val="24"/>
              </w:rPr>
              <w:t>云和县★、庆元县★、缙云县★、</w:t>
            </w:r>
          </w:p>
          <w:p>
            <w:pPr>
              <w:spacing w:line="240" w:lineRule="auto"/>
              <w:ind w:left="0" w:leftChars="0" w:right="0" w:rightChars="0" w:firstLine="0" w:firstLineChars="0"/>
              <w:jc w:val="left"/>
              <w:rPr>
                <w:color w:val="000000"/>
                <w:sz w:val="24"/>
                <w:szCs w:val="24"/>
              </w:rPr>
            </w:pPr>
            <w:r>
              <w:rPr>
                <w:color w:val="000000"/>
                <w:sz w:val="24"/>
                <w:szCs w:val="24"/>
              </w:rPr>
              <w:t>遂昌县★、松阳县★、景宁县★</w:t>
            </w:r>
          </w:p>
        </w:tc>
        <w:tc>
          <w:tcPr>
            <w:tcW w:w="3781" w:type="dxa"/>
            <w:vAlign w:val="center"/>
          </w:tcPr>
          <w:p>
            <w:pPr>
              <w:spacing w:line="240" w:lineRule="auto"/>
              <w:ind w:left="0" w:leftChars="0" w:right="0" w:rightChars="0" w:firstLine="0" w:firstLineChars="0"/>
              <w:jc w:val="lef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tcBorders>
              <w:top w:val="single" w:color="auto" w:sz="4" w:space="0"/>
              <w:right w:val="single" w:color="auto" w:sz="4" w:space="0"/>
            </w:tcBorders>
            <w:vAlign w:val="center"/>
          </w:tcPr>
          <w:p>
            <w:pPr>
              <w:spacing w:line="360" w:lineRule="exact"/>
              <w:ind w:left="-74" w:leftChars="-23" w:right="-96" w:rightChars="-30" w:firstLine="482"/>
              <w:jc w:val="center"/>
              <w:rPr>
                <w:b/>
                <w:bCs/>
                <w:color w:val="000000"/>
                <w:sz w:val="24"/>
                <w:szCs w:val="24"/>
              </w:rPr>
            </w:pPr>
            <w:r>
              <w:rPr>
                <w:b/>
                <w:color w:val="000000"/>
                <w:sz w:val="24"/>
                <w:szCs w:val="24"/>
              </w:rPr>
              <w:t>合计</w:t>
            </w:r>
          </w:p>
        </w:tc>
        <w:tc>
          <w:tcPr>
            <w:tcW w:w="3782" w:type="dxa"/>
            <w:vAlign w:val="center"/>
          </w:tcPr>
          <w:p>
            <w:pPr>
              <w:spacing w:line="240" w:lineRule="auto"/>
              <w:ind w:left="0" w:leftChars="0" w:right="0" w:rightChars="0" w:firstLine="0" w:firstLineChars="0"/>
              <w:jc w:val="center"/>
              <w:rPr>
                <w:b/>
                <w:bCs/>
                <w:color w:val="000000"/>
                <w:sz w:val="24"/>
                <w:szCs w:val="24"/>
              </w:rPr>
            </w:pPr>
            <w:r>
              <w:rPr>
                <w:b/>
                <w:bCs/>
                <w:color w:val="000000"/>
                <w:sz w:val="24"/>
                <w:szCs w:val="24"/>
              </w:rPr>
              <w:t>50个</w:t>
            </w:r>
          </w:p>
        </w:tc>
        <w:tc>
          <w:tcPr>
            <w:tcW w:w="3781" w:type="dxa"/>
            <w:vAlign w:val="center"/>
          </w:tcPr>
          <w:p>
            <w:pPr>
              <w:spacing w:line="240" w:lineRule="auto"/>
              <w:ind w:left="0" w:leftChars="0" w:right="0" w:rightChars="0" w:firstLine="0" w:firstLineChars="0"/>
              <w:jc w:val="center"/>
              <w:rPr>
                <w:b/>
                <w:bCs/>
                <w:color w:val="000000"/>
                <w:sz w:val="24"/>
                <w:szCs w:val="24"/>
              </w:rPr>
            </w:pPr>
            <w:r>
              <w:rPr>
                <w:b/>
                <w:bCs/>
                <w:color w:val="000000"/>
                <w:sz w:val="24"/>
                <w:szCs w:val="24"/>
              </w:rPr>
              <w:t>28个</w:t>
            </w:r>
          </w:p>
        </w:tc>
      </w:tr>
    </w:tbl>
    <w:p>
      <w:pPr>
        <w:overflowPunct w:val="0"/>
        <w:adjustRightInd w:val="0"/>
        <w:snapToGrid w:val="0"/>
        <w:spacing w:line="600" w:lineRule="exact"/>
        <w:ind w:firstLine="0" w:firstLineChars="0"/>
        <w:rPr>
          <w:sz w:val="28"/>
          <w:szCs w:val="28"/>
        </w:rPr>
      </w:pPr>
      <w:r>
        <w:rPr>
          <w:rFonts w:hint="eastAsia"/>
          <w:sz w:val="28"/>
          <w:szCs w:val="28"/>
        </w:rPr>
        <w:t>　注：标“★”的为山区26县；标“☆”为与山区26县同等享受异地搬迁补助政策的县（市、区）。</w:t>
      </w:r>
    </w:p>
    <w:sectPr>
      <w:headerReference r:id="rId7" w:type="first"/>
      <w:footerReference r:id="rId10" w:type="first"/>
      <w:headerReference r:id="rId5" w:type="default"/>
      <w:footerReference r:id="rId8" w:type="default"/>
      <w:headerReference r:id="rId6" w:type="even"/>
      <w:footerReference r:id="rId9" w:type="even"/>
      <w:pgSz w:w="11906" w:h="16838"/>
      <w:pgMar w:top="1928" w:right="1701" w:bottom="1814" w:left="1701"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trackRevisions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16CA"/>
    <w:rsid w:val="00172A27"/>
    <w:rsid w:val="006A6BCB"/>
    <w:rsid w:val="009C02CC"/>
    <w:rsid w:val="00AE556B"/>
    <w:rsid w:val="00E40F86"/>
    <w:rsid w:val="018D4BBB"/>
    <w:rsid w:val="02751B04"/>
    <w:rsid w:val="05EB4475"/>
    <w:rsid w:val="0A436FC3"/>
    <w:rsid w:val="0CB27BD0"/>
    <w:rsid w:val="0CE358BB"/>
    <w:rsid w:val="0F9952BB"/>
    <w:rsid w:val="10001420"/>
    <w:rsid w:val="103F24E5"/>
    <w:rsid w:val="24D04AE8"/>
    <w:rsid w:val="276F5CFA"/>
    <w:rsid w:val="34534A3C"/>
    <w:rsid w:val="348560F3"/>
    <w:rsid w:val="34C36E04"/>
    <w:rsid w:val="38AB0D6E"/>
    <w:rsid w:val="39632202"/>
    <w:rsid w:val="42A67BCD"/>
    <w:rsid w:val="448965EE"/>
    <w:rsid w:val="468617A9"/>
    <w:rsid w:val="46DE5F77"/>
    <w:rsid w:val="49C06066"/>
    <w:rsid w:val="4E404F8C"/>
    <w:rsid w:val="5025307B"/>
    <w:rsid w:val="55DE4C93"/>
    <w:rsid w:val="56FE3C4F"/>
    <w:rsid w:val="576D5F9B"/>
    <w:rsid w:val="5B842C55"/>
    <w:rsid w:val="656B70A1"/>
    <w:rsid w:val="66D06C68"/>
    <w:rsid w:val="67FECF1D"/>
    <w:rsid w:val="6B171E41"/>
    <w:rsid w:val="6C0E3B2A"/>
    <w:rsid w:val="6D8A1039"/>
    <w:rsid w:val="7644611C"/>
    <w:rsid w:val="79D63DF4"/>
    <w:rsid w:val="7B203666"/>
    <w:rsid w:val="7CF73997"/>
    <w:rsid w:val="7DD8268B"/>
    <w:rsid w:val="F45AC32B"/>
    <w:rsid w:val="FFFFE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60" w:lineRule="exact"/>
      <w:ind w:firstLine="883"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keepLines/>
      <w:spacing w:line="700" w:lineRule="exact"/>
      <w:ind w:firstLine="0" w:firstLineChars="0"/>
      <w:outlineLvl w:val="0"/>
    </w:pPr>
    <w:rPr>
      <w:rFonts w:eastAsia="方正小标宋简体"/>
      <w:kern w:val="44"/>
      <w:sz w:val="44"/>
    </w:rPr>
  </w:style>
  <w:style w:type="paragraph" w:styleId="3">
    <w:name w:val="heading 2"/>
    <w:basedOn w:val="1"/>
    <w:next w:val="1"/>
    <w:semiHidden/>
    <w:unhideWhenUsed/>
    <w:qFormat/>
    <w:uiPriority w:val="0"/>
    <w:pPr>
      <w:keepNext/>
      <w:keepLines/>
      <w:adjustRightInd w:val="0"/>
      <w:snapToGrid w:val="0"/>
      <w:outlineLvl w:val="1"/>
    </w:pPr>
    <w:rPr>
      <w:rFonts w:eastAsia="黑体"/>
    </w:rPr>
  </w:style>
  <w:style w:type="paragraph" w:styleId="4">
    <w:name w:val="heading 3"/>
    <w:basedOn w:val="1"/>
    <w:next w:val="1"/>
    <w:semiHidden/>
    <w:unhideWhenUsed/>
    <w:qFormat/>
    <w:uiPriority w:val="0"/>
    <w:pPr>
      <w:keepNext/>
      <w:keepLines/>
      <w:outlineLvl w:val="2"/>
    </w:pPr>
    <w:rPr>
      <w:rFonts w:eastAsia="楷体_GB2312"/>
      <w:b/>
    </w:rPr>
  </w:style>
  <w:style w:type="paragraph" w:styleId="5">
    <w:name w:val="heading 4"/>
    <w:basedOn w:val="1"/>
    <w:next w:val="1"/>
    <w:semiHidden/>
    <w:unhideWhenUsed/>
    <w:qFormat/>
    <w:uiPriority w:val="0"/>
    <w:pPr>
      <w:keepNext/>
      <w:keepLines/>
      <w:outlineLvl w:val="3"/>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8"/>
    <w:qFormat/>
    <w:uiPriority w:val="0"/>
    <w:pPr>
      <w:spacing w:line="240" w:lineRule="auto"/>
    </w:pPr>
    <w:rPr>
      <w:sz w:val="18"/>
      <w:szCs w:val="18"/>
    </w:rPr>
  </w:style>
  <w:style w:type="paragraph" w:styleId="7">
    <w:name w:val="footer"/>
    <w:basedOn w:val="1"/>
    <w:link w:val="17"/>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样式1"/>
    <w:basedOn w:val="1"/>
    <w:qFormat/>
    <w:uiPriority w:val="0"/>
    <w:pPr>
      <w:spacing w:line="580" w:lineRule="exact"/>
    </w:pPr>
  </w:style>
  <w:style w:type="paragraph" w:customStyle="1" w:styleId="15">
    <w:name w:val="样式2"/>
    <w:basedOn w:val="1"/>
    <w:qFormat/>
    <w:uiPriority w:val="0"/>
    <w:pPr>
      <w:spacing w:line="580" w:lineRule="exact"/>
      <w:ind w:firstLine="0" w:firstLineChars="0"/>
      <w:jc w:val="center"/>
    </w:pPr>
    <w:rPr>
      <w:rFonts w:eastAsia="楷体_GB2312"/>
    </w:rPr>
  </w:style>
  <w:style w:type="character" w:customStyle="1" w:styleId="16">
    <w:name w:val="页眉 Char"/>
    <w:basedOn w:val="12"/>
    <w:link w:val="8"/>
    <w:qFormat/>
    <w:uiPriority w:val="0"/>
    <w:rPr>
      <w:rFonts w:eastAsia="仿宋_GB2312"/>
      <w:kern w:val="2"/>
      <w:sz w:val="18"/>
      <w:szCs w:val="18"/>
    </w:rPr>
  </w:style>
  <w:style w:type="character" w:customStyle="1" w:styleId="17">
    <w:name w:val="页脚 Char"/>
    <w:basedOn w:val="12"/>
    <w:link w:val="7"/>
    <w:qFormat/>
    <w:uiPriority w:val="0"/>
    <w:rPr>
      <w:rFonts w:eastAsia="仿宋_GB2312"/>
      <w:kern w:val="2"/>
      <w:sz w:val="18"/>
      <w:szCs w:val="18"/>
    </w:rPr>
  </w:style>
  <w:style w:type="character" w:customStyle="1" w:styleId="18">
    <w:name w:val="批注框文本 Char"/>
    <w:basedOn w:val="12"/>
    <w:link w:val="6"/>
    <w:qFormat/>
    <w:uiPriority w:val="0"/>
    <w:rPr>
      <w:rFonts w:eastAsia="仿宋_GB2312"/>
      <w:kern w:val="2"/>
      <w:sz w:val="18"/>
      <w:szCs w:val="18"/>
    </w:rPr>
  </w:style>
  <w:style w:type="paragraph" w:customStyle="1" w:styleId="19">
    <w:name w:val=" Char1 Char Char Char Char Char Char"/>
    <w:basedOn w:val="1"/>
    <w:qFormat/>
    <w:uiPriority w:val="0"/>
    <w:pPr>
      <w:spacing w:line="360" w:lineRule="auto"/>
      <w:ind w:firstLine="200"/>
    </w:pPr>
    <w:rPr>
      <w:rFonts w:ascii="宋体" w:hAnsi="宋体" w:eastAsia="宋体"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10</Pages>
  <Words>944</Words>
  <Characters>5382</Characters>
  <Lines>44</Lines>
  <Paragraphs>12</Paragraphs>
  <TotalTime>9</TotalTime>
  <ScaleCrop>false</ScaleCrop>
  <LinksUpToDate>false</LinksUpToDate>
  <CharactersWithSpaces>6314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2020-10-12T19:22:00Z</dcterms:created>
  <dc:creator>zhanggq</dc:creator>
  <cp:lastModifiedBy>zhangq</cp:lastModifiedBy>
  <dcterms:modified xsi:type="dcterms:W3CDTF">2022-12-08T11:58:01Z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