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eastAsia="方正小标宋_GBK"/>
          <w:sz w:val="44"/>
          <w:szCs w:val="44"/>
        </w:rPr>
      </w:pPr>
      <w:r>
        <w:rPr>
          <w:rFonts w:hint="eastAsia" w:ascii="方正小标宋_GBK" w:eastAsia="方正小标宋_GBK"/>
          <w:sz w:val="44"/>
          <w:szCs w:val="44"/>
        </w:rPr>
        <w:t>《浙江省年度耕地“进出平衡”实施意见》起草说明</w:t>
      </w:r>
    </w:p>
    <w:p>
      <w:pPr>
        <w:spacing w:line="560" w:lineRule="exact"/>
        <w:jc w:val="center"/>
        <w:rPr>
          <w:rFonts w:asciiTheme="majorEastAsia" w:hAnsiTheme="majorEastAsia" w:eastAsiaTheme="majorEastAsia" w:cstheme="majorEastAsia"/>
          <w:color w:val="000000"/>
          <w:sz w:val="44"/>
          <w:szCs w:val="44"/>
        </w:rPr>
      </w:pPr>
    </w:p>
    <w:p>
      <w:pPr>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一、</w:t>
      </w:r>
      <w:r>
        <w:rPr>
          <w:rFonts w:hint="eastAsia" w:ascii="黑体" w:eastAsia="黑体"/>
          <w:sz w:val="32"/>
          <w:szCs w:val="32"/>
        </w:rPr>
        <w:t>起草背景和主要过程</w:t>
      </w:r>
    </w:p>
    <w:p>
      <w:pPr>
        <w:spacing w:line="560" w:lineRule="exact"/>
        <w:ind w:firstLine="645"/>
        <w:rPr>
          <w:rFonts w:ascii="楷体" w:hAnsi="楷体" w:eastAsia="楷体"/>
          <w:bCs/>
          <w:sz w:val="32"/>
          <w:szCs w:val="32"/>
        </w:rPr>
      </w:pPr>
      <w:r>
        <w:rPr>
          <w:rFonts w:hint="eastAsia" w:ascii="楷体" w:hAnsi="楷体" w:eastAsia="楷体"/>
          <w:bCs/>
          <w:sz w:val="32"/>
          <w:szCs w:val="32"/>
        </w:rPr>
        <w:t>（一）起草背景</w:t>
      </w:r>
    </w:p>
    <w:p>
      <w:pPr>
        <w:spacing w:line="560" w:lineRule="exact"/>
        <w:ind w:firstLine="646"/>
        <w:rPr>
          <w:rFonts w:hint="eastAsia" w:ascii="仿宋_GB2312" w:eastAsia="仿宋_GB2312"/>
          <w:sz w:val="32"/>
          <w:szCs w:val="32"/>
        </w:rPr>
      </w:pPr>
      <w:r>
        <w:rPr>
          <w:rFonts w:hint="eastAsia" w:ascii="仿宋_GB2312" w:eastAsia="仿宋_GB2312"/>
          <w:sz w:val="32"/>
          <w:szCs w:val="32"/>
        </w:rPr>
        <w:t>习近平总书记多次对耕地保护作出重要指示批示，强调要严防死守18亿亩耕地红线，采取长牙齿的硬措施，落实最严格的耕地保护制度；要压实地方各级党委和政府责任，落实党政同责，从严查处各类违法违规占用耕地或改变耕地用途行为，遏制耕地“非农化”、严格管控“非粮化”。2020年9月、11月，国务院办公厅分别印发《关于坚决制止耕地“非农化”行为的通知》《关于防止耕地“非粮化”稳定 粮食生产的意见》，明确严禁占用耕地的六种情形，强调对耕地实行特殊保护和用途管制，严格控制耕地转为林地、园地等其他类型农用地。</w:t>
      </w:r>
    </w:p>
    <w:p>
      <w:pPr>
        <w:spacing w:line="560" w:lineRule="exact"/>
        <w:ind w:firstLine="646"/>
        <w:rPr>
          <w:rFonts w:hint="eastAsia" w:ascii="仿宋_GB2312" w:eastAsia="仿宋_GB2312"/>
          <w:sz w:val="32"/>
          <w:szCs w:val="32"/>
        </w:rPr>
      </w:pPr>
      <w:r>
        <w:rPr>
          <w:rFonts w:hint="eastAsia" w:ascii="仿宋_GB2312" w:eastAsia="仿宋_GB2312"/>
          <w:sz w:val="32"/>
          <w:szCs w:val="32"/>
        </w:rPr>
        <w:t>考虑到今后生态退耕还要占用一部分耕地，自然灾害损毁还会导致部分耕地不能恢复，河湖水面自然扩大造成耕地永久淹没等因素，不可避免会造成现有耕地减少，守住耕地红线任务十分艰巨。在这种情况卞，对农业结构调整、国土绿化和农业设施建设等使用耕地的，要加以有效控制和相应的补充。为守住18亿亩耕地红线，2021年11月，自然资源部、农业农村部、国家林业和草原局印发《关于严格耕地用途管制有关问题的通知》（自然资发〔2021〕166号），围绕严格耕地用途管制明确政策措施，在现行非农业建设占用耕地实行“占补平衡”制度基础上，建立耕地“进出平衡”制度。为进一步规范耕地用途管制，贯彻落实最严格的耕地保护制度，我厅根据自然资发〔2021〕166号要求，结合地方实际，进一步细化耕地进出平衡制度。</w:t>
      </w:r>
    </w:p>
    <w:p>
      <w:pPr>
        <w:spacing w:line="560" w:lineRule="exact"/>
        <w:ind w:firstLine="646"/>
        <w:rPr>
          <w:rFonts w:ascii="楷体" w:hAnsi="楷体" w:eastAsia="楷体"/>
          <w:bCs/>
          <w:sz w:val="32"/>
          <w:szCs w:val="32"/>
        </w:rPr>
      </w:pPr>
      <w:r>
        <w:rPr>
          <w:rFonts w:hint="eastAsia" w:ascii="楷体" w:hAnsi="楷体" w:eastAsia="楷体"/>
          <w:bCs/>
          <w:sz w:val="32"/>
          <w:szCs w:val="32"/>
        </w:rPr>
        <w:t>（二）主要过程</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自然资源部、农业农村部、国家林业和草原局印发《关于严格耕地用途管制有关问题的通知》（自然资发〔2021〕166号）印发后，我厅会同省农业农村厅、省林业局于10月28日联合印发《关于严格耕地用途管制的实施意见》。同时，我厅结合我省实际情况，起草《浙江省年度耕地“进出平衡”实施意见（征求意见稿）》，于</w:t>
      </w:r>
      <w:r>
        <w:rPr>
          <w:rFonts w:hint="default" w:ascii="仿宋_GB2312" w:hAnsi="仿宋_GB2312" w:eastAsia="仿宋_GB2312" w:cs="仿宋_GB2312"/>
          <w:color w:val="000000"/>
          <w:sz w:val="32"/>
          <w:szCs w:val="32"/>
          <w:woUserID w:val="1"/>
        </w:rPr>
        <w:t>2022年</w:t>
      </w:r>
      <w:bookmarkStart w:id="0" w:name="_GoBack"/>
      <w:bookmarkEnd w:id="0"/>
      <w:r>
        <w:rPr>
          <w:rFonts w:hint="eastAsia" w:ascii="仿宋_GB2312" w:hAnsi="仿宋_GB2312" w:eastAsia="仿宋_GB2312" w:cs="仿宋_GB2312"/>
          <w:color w:val="000000"/>
          <w:sz w:val="32"/>
          <w:szCs w:val="32"/>
        </w:rPr>
        <w:t>11月15日向省财政厅、省生态环境厅、省水利厅、省农业农村厅、省林业局、各地市意见，经认真收集和分析各方反馈意见后修改形成《浙江省年度耕地“进出平衡”实施意见》。</w:t>
      </w:r>
    </w:p>
    <w:p>
      <w:pPr>
        <w:spacing w:line="560" w:lineRule="exact"/>
        <w:ind w:firstLine="640" w:firstLineChars="200"/>
        <w:rPr>
          <w:rFonts w:ascii="黑体" w:hAnsi="黑体" w:eastAsia="黑体" w:cs="仿宋_GB2312"/>
          <w:color w:val="000000"/>
          <w:sz w:val="32"/>
          <w:szCs w:val="32"/>
        </w:rPr>
      </w:pPr>
      <w:r>
        <w:rPr>
          <w:rFonts w:ascii="黑体" w:hAnsi="黑体" w:eastAsia="黑体" w:cs="仿宋_GB2312"/>
          <w:color w:val="000000"/>
          <w:sz w:val="32"/>
          <w:szCs w:val="32"/>
        </w:rPr>
        <w:t>二、《意见》主要内容</w:t>
      </w:r>
    </w:p>
    <w:p>
      <w:pPr>
        <w:spacing w:line="560" w:lineRule="exact"/>
        <w:ind w:firstLine="641" w:firstLineChars="200"/>
        <w:rPr>
          <w:rFonts w:hint="eastAsia" w:ascii="Times New Roman" w:hAnsi="Times New Roman" w:eastAsia="仿宋_GB2312" w:cs="仿宋_GB2312"/>
          <w:color w:val="000000"/>
          <w:sz w:val="32"/>
          <w:szCs w:val="32"/>
        </w:rPr>
      </w:pPr>
      <w:r>
        <w:rPr>
          <w:rFonts w:hint="eastAsia" w:ascii="Times New Roman" w:hAnsi="Times New Roman" w:eastAsia="仿宋_GB2312" w:cs="仿宋_GB2312"/>
          <w:b/>
          <w:color w:val="000000"/>
          <w:sz w:val="32"/>
          <w:szCs w:val="32"/>
        </w:rPr>
        <w:t>一是明确实施范围。</w:t>
      </w:r>
      <w:r>
        <w:rPr>
          <w:rFonts w:hint="eastAsia" w:ascii="Times New Roman" w:hAnsi="Times New Roman" w:eastAsia="仿宋_GB2312" w:cs="仿宋_GB2312"/>
          <w:color w:val="000000"/>
          <w:sz w:val="32"/>
          <w:szCs w:val="32"/>
        </w:rPr>
        <w:t>明确允许“耕地转出”、“耕地转入”及禁止“耕地转出”、“耕地转入”的情形，确保耕地转为林地、草地、园地等其他农用地以及农业设施建设用地时，通过统筹林地、草地、园地等其他农用地（含恢复属性地类）及农业设施建设用地等整治为耕地的方式，补足同等数量、质量的可以长期稳定利用的耕地。</w:t>
      </w:r>
    </w:p>
    <w:p>
      <w:pPr>
        <w:spacing w:line="560" w:lineRule="exact"/>
        <w:ind w:firstLine="641" w:firstLineChars="200"/>
        <w:rPr>
          <w:rFonts w:hint="eastAsia" w:ascii="Times New Roman" w:hAnsi="Times New Roman" w:eastAsia="仿宋_GB2312" w:cs="仿宋_GB2312"/>
          <w:color w:val="000000"/>
          <w:sz w:val="32"/>
          <w:szCs w:val="32"/>
        </w:rPr>
      </w:pPr>
      <w:r>
        <w:rPr>
          <w:rFonts w:hint="eastAsia" w:ascii="Times New Roman" w:hAnsi="Times New Roman" w:eastAsia="仿宋_GB2312" w:cs="仿宋_GB2312"/>
          <w:b/>
          <w:color w:val="000000"/>
          <w:sz w:val="32"/>
          <w:szCs w:val="32"/>
        </w:rPr>
        <w:t>二是明确实施程序和要求。</w:t>
      </w:r>
      <w:r>
        <w:rPr>
          <w:rFonts w:hint="eastAsia" w:ascii="Times New Roman" w:hAnsi="Times New Roman" w:eastAsia="仿宋_GB2312" w:cs="仿宋_GB2312"/>
          <w:color w:val="000000"/>
          <w:sz w:val="32"/>
          <w:szCs w:val="32"/>
        </w:rPr>
        <w:t>明确“耕地转出”的申报主体；明确方案编制及实施的具体流程；明确建设耕地“进出平衡”备案监管系统；明确自然资源、农业农村、林业等相关部门的监督管理职责；明确耕地“进出平衡”检查结果纳入耕地保护和粮食安全责任目标考核评价内容。</w:t>
      </w:r>
    </w:p>
    <w:p>
      <w:pPr>
        <w:spacing w:line="560" w:lineRule="exact"/>
        <w:ind w:firstLine="641" w:firstLineChars="200"/>
        <w:rPr>
          <w:rFonts w:hint="eastAsia" w:ascii="Times New Roman" w:hAnsi="Times New Roman" w:eastAsia="仿宋_GB2312" w:cs="仿宋_GB2312"/>
          <w:color w:val="000000"/>
          <w:sz w:val="32"/>
          <w:szCs w:val="32"/>
        </w:rPr>
      </w:pPr>
      <w:r>
        <w:rPr>
          <w:rFonts w:hint="eastAsia" w:ascii="Times New Roman" w:hAnsi="Times New Roman" w:eastAsia="仿宋_GB2312" w:cs="仿宋_GB2312"/>
          <w:b/>
          <w:color w:val="000000"/>
          <w:sz w:val="32"/>
          <w:szCs w:val="32"/>
        </w:rPr>
        <w:t>三是其他工作要求。</w:t>
      </w:r>
      <w:r>
        <w:rPr>
          <w:rFonts w:hint="eastAsia" w:ascii="Times New Roman" w:hAnsi="Times New Roman" w:eastAsia="仿宋_GB2312" w:cs="仿宋_GB2312"/>
          <w:color w:val="000000"/>
          <w:sz w:val="32"/>
          <w:szCs w:val="32"/>
        </w:rPr>
        <w:t>明确耕地“进出平衡”时，需做好承包合同、权属证书等的变更；明确土地整治实施前的前置要求；明确县级相关部门在共同落实耕地用途管制时的相关职责；明确年度耕地进出平衡后仍有结余的耕地进出平衡指标可用于补足耕地保护责任目标缺口或进行调剂。</w:t>
      </w:r>
    </w:p>
    <w:p>
      <w:pPr>
        <w:spacing w:line="560" w:lineRule="exact"/>
        <w:ind w:firstLine="641" w:firstLineChars="200"/>
        <w:rPr>
          <w:rFonts w:ascii="仿宋_GB2312" w:hAnsi="Times New Roman" w:eastAsia="仿宋_GB2312" w:cstheme="minorBidi"/>
          <w:sz w:val="32"/>
          <w:szCs w:val="32"/>
        </w:rPr>
      </w:pPr>
      <w:r>
        <w:rPr>
          <w:rFonts w:hint="eastAsia" w:ascii="Times New Roman" w:hAnsi="Times New Roman" w:eastAsia="仿宋_GB2312" w:cs="仿宋_GB2312"/>
          <w:b/>
          <w:color w:val="000000"/>
          <w:sz w:val="32"/>
          <w:szCs w:val="32"/>
        </w:rPr>
        <w:t>四是草拟相关附件。</w:t>
      </w:r>
      <w:r>
        <w:rPr>
          <w:rFonts w:hint="eastAsia" w:ascii="Times New Roman" w:hAnsi="Times New Roman" w:eastAsia="仿宋_GB2312" w:cs="仿宋_GB2312"/>
          <w:color w:val="000000"/>
          <w:sz w:val="32"/>
          <w:szCs w:val="32"/>
        </w:rPr>
        <w:t>草拟县级年度耕地进出平衡总体方案（参考模板）、耕地“进出平衡”方案审批表、耕地转出计划情况表、耕地转入计划情况表。</w:t>
      </w:r>
      <w:r>
        <w:rPr>
          <w:rFonts w:hint="eastAsia" w:ascii="Times New Roman" w:hAnsi="Times New Roman" w:eastAsia="仿宋_GB2312" w:cs="仿宋_GB2312"/>
          <w:color w:val="000000"/>
          <w:sz w:val="32"/>
          <w:szCs w:val="32"/>
        </w:rPr>
        <w:cr/>
      </w: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楷体_GB2312">
    <w:altName w:val="汉仪楷体KW"/>
    <w:panose1 w:val="00000000000000000000"/>
    <w:charset w:val="86"/>
    <w:family w:val="auto"/>
    <w:pitch w:val="default"/>
    <w:sig w:usb0="00000000" w:usb1="00000000" w:usb2="00000000" w:usb3="00000000" w:csb0="00040000" w:csb1="00000000"/>
  </w:font>
  <w:font w:name="方正小标宋_GBK">
    <w:altName w:val="汉仪书宋二KW"/>
    <w:panose1 w:val="03000509000000000000"/>
    <w:charset w:val="86"/>
    <w:family w:val="script"/>
    <w:pitch w:val="default"/>
    <w:sig w:usb0="00000000" w:usb1="00000000" w:usb2="00000010" w:usb3="00000000" w:csb0="00040000" w:csb1="00000000"/>
  </w:font>
  <w:font w:name="仿宋_GB2312">
    <w:altName w:val="汉仪仿宋KW"/>
    <w:panose1 w:val="02010609030101010101"/>
    <w:charset w:val="86"/>
    <w:family w:val="modern"/>
    <w:pitch w:val="default"/>
    <w:sig w:usb0="00000000" w:usb1="00000000" w:usb2="00000010" w:usb3="00000000" w:csb0="00040000" w:csb1="00000000"/>
  </w:font>
  <w:font w:name="楷体">
    <w:altName w:val="汉仪楷体KW"/>
    <w:panose1 w:val="02010609060101010101"/>
    <w:charset w:val="86"/>
    <w:family w:val="modern"/>
    <w:pitch w:val="default"/>
    <w:sig w:usb0="00000000" w:usb1="00000000" w:usb2="00000016" w:usb3="00000000" w:csb0="00040001" w:csb1="00000000"/>
  </w:font>
  <w:font w:name="汉仪仿宋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文本框 1" o:spid="_x0000_s1026" o:spt="202" type="#_x0000_t202" style="position:absolute;left:0pt;margin-top:0pt;height:18.15pt;width:35.05pt;mso-position-horizontal:center;mso-position-horizontal-relative:margin;mso-wrap-style:none;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">
          <v:path/>
          <v:fill on="f" focussize="0,0"/>
          <v:stroke on="f" weight="0.5pt" joinstyle="miter"/>
          <v:imagedata o:title=""/>
          <o:lock v:ext="edit"/>
          <v:textbox inset="0mm,0mm,0mm,0mm" style="mso-fit-shape-to-text:t;">
            <w:txbxContent>
              <w:p>
                <w:pPr>
                  <w:pStyle w:val="5"/>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- 3 -</w:t>
                </w:r>
                <w:r>
                  <w:rPr>
                    <w:rFonts w:hint="eastAsia" w:ascii="仿宋_GB2312" w:hAnsi="仿宋_GB2312" w:eastAsia="仿宋_GB2312" w:cs="仿宋_GB2312"/>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65EE6A0D"/>
    <w:rsid w:val="001462C6"/>
    <w:rsid w:val="002072B0"/>
    <w:rsid w:val="002A5CF1"/>
    <w:rsid w:val="002B6999"/>
    <w:rsid w:val="002F0437"/>
    <w:rsid w:val="003A0BEF"/>
    <w:rsid w:val="003E612C"/>
    <w:rsid w:val="00422734"/>
    <w:rsid w:val="00460D3A"/>
    <w:rsid w:val="004D1EBC"/>
    <w:rsid w:val="00604DBA"/>
    <w:rsid w:val="00671C28"/>
    <w:rsid w:val="006932D1"/>
    <w:rsid w:val="006D28EF"/>
    <w:rsid w:val="007E0497"/>
    <w:rsid w:val="007F3109"/>
    <w:rsid w:val="0080479C"/>
    <w:rsid w:val="00830272"/>
    <w:rsid w:val="00831507"/>
    <w:rsid w:val="00865BED"/>
    <w:rsid w:val="00870D32"/>
    <w:rsid w:val="0091358E"/>
    <w:rsid w:val="00925EB0"/>
    <w:rsid w:val="0093277F"/>
    <w:rsid w:val="00986DC1"/>
    <w:rsid w:val="009B0763"/>
    <w:rsid w:val="00A009D5"/>
    <w:rsid w:val="00A33679"/>
    <w:rsid w:val="00A64335"/>
    <w:rsid w:val="00A718D5"/>
    <w:rsid w:val="00A90C43"/>
    <w:rsid w:val="00AC735C"/>
    <w:rsid w:val="00AD4A79"/>
    <w:rsid w:val="00C61F84"/>
    <w:rsid w:val="00C844B2"/>
    <w:rsid w:val="00C84ABA"/>
    <w:rsid w:val="00D62296"/>
    <w:rsid w:val="00D95ED6"/>
    <w:rsid w:val="00DA11D7"/>
    <w:rsid w:val="00DB71AA"/>
    <w:rsid w:val="00DD4E92"/>
    <w:rsid w:val="00E0064A"/>
    <w:rsid w:val="00F6293B"/>
    <w:rsid w:val="00F630BC"/>
    <w:rsid w:val="00F739E6"/>
    <w:rsid w:val="00F94C5C"/>
    <w:rsid w:val="00FD4414"/>
    <w:rsid w:val="00FF7D0F"/>
    <w:rsid w:val="0177484C"/>
    <w:rsid w:val="01B47FA9"/>
    <w:rsid w:val="02EA7ABD"/>
    <w:rsid w:val="030A35F8"/>
    <w:rsid w:val="03977A9C"/>
    <w:rsid w:val="04013C62"/>
    <w:rsid w:val="041337A2"/>
    <w:rsid w:val="049741E5"/>
    <w:rsid w:val="04BA78AC"/>
    <w:rsid w:val="05147D15"/>
    <w:rsid w:val="05702BC3"/>
    <w:rsid w:val="066767F0"/>
    <w:rsid w:val="06FF24D4"/>
    <w:rsid w:val="07153C44"/>
    <w:rsid w:val="072006C9"/>
    <w:rsid w:val="072F4CC9"/>
    <w:rsid w:val="07475B69"/>
    <w:rsid w:val="07C57540"/>
    <w:rsid w:val="07D2547C"/>
    <w:rsid w:val="08BD14D9"/>
    <w:rsid w:val="0926373B"/>
    <w:rsid w:val="09BA1411"/>
    <w:rsid w:val="0A9A3FF0"/>
    <w:rsid w:val="0BF076C0"/>
    <w:rsid w:val="0CB8797C"/>
    <w:rsid w:val="0D270132"/>
    <w:rsid w:val="0D4E5149"/>
    <w:rsid w:val="0D9F53EE"/>
    <w:rsid w:val="0DAC56A7"/>
    <w:rsid w:val="0DFC9142"/>
    <w:rsid w:val="0E1C75D4"/>
    <w:rsid w:val="0EC122C2"/>
    <w:rsid w:val="0EE96391"/>
    <w:rsid w:val="0F507350"/>
    <w:rsid w:val="0F9562DE"/>
    <w:rsid w:val="0FB4631E"/>
    <w:rsid w:val="0FE544EE"/>
    <w:rsid w:val="10B431D7"/>
    <w:rsid w:val="10B7257E"/>
    <w:rsid w:val="114B206D"/>
    <w:rsid w:val="11C10D7E"/>
    <w:rsid w:val="12947089"/>
    <w:rsid w:val="12E64D95"/>
    <w:rsid w:val="12F96DB3"/>
    <w:rsid w:val="132C022E"/>
    <w:rsid w:val="13897526"/>
    <w:rsid w:val="141D48C0"/>
    <w:rsid w:val="14246949"/>
    <w:rsid w:val="14535C6D"/>
    <w:rsid w:val="14824F3A"/>
    <w:rsid w:val="14CB38A8"/>
    <w:rsid w:val="15686A6B"/>
    <w:rsid w:val="15CA5D52"/>
    <w:rsid w:val="15CE1532"/>
    <w:rsid w:val="15E56071"/>
    <w:rsid w:val="16434821"/>
    <w:rsid w:val="166E4D94"/>
    <w:rsid w:val="171A529A"/>
    <w:rsid w:val="174366D0"/>
    <w:rsid w:val="17976063"/>
    <w:rsid w:val="181E1BA2"/>
    <w:rsid w:val="18294755"/>
    <w:rsid w:val="184424C6"/>
    <w:rsid w:val="18C245F4"/>
    <w:rsid w:val="19416B6A"/>
    <w:rsid w:val="19A82BF7"/>
    <w:rsid w:val="1A562DC7"/>
    <w:rsid w:val="1A8D2B99"/>
    <w:rsid w:val="1AFD2913"/>
    <w:rsid w:val="1C79478E"/>
    <w:rsid w:val="1CB56713"/>
    <w:rsid w:val="1E7EF47E"/>
    <w:rsid w:val="1FC042E3"/>
    <w:rsid w:val="20AA1F91"/>
    <w:rsid w:val="20BA5AF1"/>
    <w:rsid w:val="20C2245B"/>
    <w:rsid w:val="21294A29"/>
    <w:rsid w:val="212F721C"/>
    <w:rsid w:val="21B74293"/>
    <w:rsid w:val="21CC1353"/>
    <w:rsid w:val="2208306C"/>
    <w:rsid w:val="22A6217B"/>
    <w:rsid w:val="22E74E02"/>
    <w:rsid w:val="230727A8"/>
    <w:rsid w:val="244143FA"/>
    <w:rsid w:val="24B33070"/>
    <w:rsid w:val="25043738"/>
    <w:rsid w:val="25836C9F"/>
    <w:rsid w:val="261F6FCC"/>
    <w:rsid w:val="267F3CF8"/>
    <w:rsid w:val="26EA1F61"/>
    <w:rsid w:val="2816541C"/>
    <w:rsid w:val="28757584"/>
    <w:rsid w:val="28820A48"/>
    <w:rsid w:val="28B938C5"/>
    <w:rsid w:val="29737815"/>
    <w:rsid w:val="29773DB2"/>
    <w:rsid w:val="29797960"/>
    <w:rsid w:val="29953C83"/>
    <w:rsid w:val="29BC73F2"/>
    <w:rsid w:val="2A444ECD"/>
    <w:rsid w:val="2A743CD2"/>
    <w:rsid w:val="2A7E151E"/>
    <w:rsid w:val="2B060C8F"/>
    <w:rsid w:val="2B104CDA"/>
    <w:rsid w:val="2BCB3F44"/>
    <w:rsid w:val="2C4C6693"/>
    <w:rsid w:val="2D081DEB"/>
    <w:rsid w:val="2D4D2624"/>
    <w:rsid w:val="2DC74560"/>
    <w:rsid w:val="2E175675"/>
    <w:rsid w:val="2E384B78"/>
    <w:rsid w:val="2F3A71FC"/>
    <w:rsid w:val="2F4E1F40"/>
    <w:rsid w:val="2F6F7B4B"/>
    <w:rsid w:val="2FAE0668"/>
    <w:rsid w:val="2FB85C8F"/>
    <w:rsid w:val="301539D4"/>
    <w:rsid w:val="30387E13"/>
    <w:rsid w:val="30E125C2"/>
    <w:rsid w:val="31140FB7"/>
    <w:rsid w:val="31304FB0"/>
    <w:rsid w:val="31950544"/>
    <w:rsid w:val="32402775"/>
    <w:rsid w:val="327E6CF6"/>
    <w:rsid w:val="32894BD5"/>
    <w:rsid w:val="32E63853"/>
    <w:rsid w:val="33444921"/>
    <w:rsid w:val="33854306"/>
    <w:rsid w:val="33A41790"/>
    <w:rsid w:val="33B9066D"/>
    <w:rsid w:val="34287602"/>
    <w:rsid w:val="34466109"/>
    <w:rsid w:val="34641581"/>
    <w:rsid w:val="355100E7"/>
    <w:rsid w:val="36A9C2D4"/>
    <w:rsid w:val="381F1EB5"/>
    <w:rsid w:val="389D0E3E"/>
    <w:rsid w:val="396D5E5E"/>
    <w:rsid w:val="39F37C71"/>
    <w:rsid w:val="3A495E4B"/>
    <w:rsid w:val="3A5C33B2"/>
    <w:rsid w:val="3A742E81"/>
    <w:rsid w:val="3A7FD11D"/>
    <w:rsid w:val="3AA40B03"/>
    <w:rsid w:val="3AA57CDE"/>
    <w:rsid w:val="3AF44EB0"/>
    <w:rsid w:val="3B1D028D"/>
    <w:rsid w:val="3B9B7034"/>
    <w:rsid w:val="3BA356CD"/>
    <w:rsid w:val="3C4A395B"/>
    <w:rsid w:val="3C6B4381"/>
    <w:rsid w:val="3CD31DFE"/>
    <w:rsid w:val="3D0200CA"/>
    <w:rsid w:val="3D3A0108"/>
    <w:rsid w:val="3DBA4A36"/>
    <w:rsid w:val="3EBC5D83"/>
    <w:rsid w:val="3FFB139A"/>
    <w:rsid w:val="403056B0"/>
    <w:rsid w:val="41EA334C"/>
    <w:rsid w:val="423E70D8"/>
    <w:rsid w:val="427E5AB9"/>
    <w:rsid w:val="42CD2238"/>
    <w:rsid w:val="434A1050"/>
    <w:rsid w:val="43B54A69"/>
    <w:rsid w:val="442C7FA9"/>
    <w:rsid w:val="44626327"/>
    <w:rsid w:val="44E174A5"/>
    <w:rsid w:val="469E259D"/>
    <w:rsid w:val="46AA38EA"/>
    <w:rsid w:val="46D70083"/>
    <w:rsid w:val="47075890"/>
    <w:rsid w:val="48747198"/>
    <w:rsid w:val="4941155F"/>
    <w:rsid w:val="499005B3"/>
    <w:rsid w:val="49F05BD4"/>
    <w:rsid w:val="4A04144C"/>
    <w:rsid w:val="4A5B133B"/>
    <w:rsid w:val="4A925C82"/>
    <w:rsid w:val="4AA20E89"/>
    <w:rsid w:val="4B5F6BF5"/>
    <w:rsid w:val="4BBB5A80"/>
    <w:rsid w:val="4C1C2DF4"/>
    <w:rsid w:val="4CB07301"/>
    <w:rsid w:val="4CDF2C64"/>
    <w:rsid w:val="4D357C2A"/>
    <w:rsid w:val="4D75337F"/>
    <w:rsid w:val="4E8D566B"/>
    <w:rsid w:val="4EA70806"/>
    <w:rsid w:val="4FB4780F"/>
    <w:rsid w:val="4FBE1202"/>
    <w:rsid w:val="4FCA38D7"/>
    <w:rsid w:val="4FF671A4"/>
    <w:rsid w:val="4FF787BD"/>
    <w:rsid w:val="50367E0D"/>
    <w:rsid w:val="50F54260"/>
    <w:rsid w:val="51050840"/>
    <w:rsid w:val="5134174F"/>
    <w:rsid w:val="517E2CDA"/>
    <w:rsid w:val="51A970C5"/>
    <w:rsid w:val="51E55E07"/>
    <w:rsid w:val="52911AB0"/>
    <w:rsid w:val="53B70DCE"/>
    <w:rsid w:val="54090998"/>
    <w:rsid w:val="540C6851"/>
    <w:rsid w:val="54424713"/>
    <w:rsid w:val="54A65E70"/>
    <w:rsid w:val="55552ADB"/>
    <w:rsid w:val="56CA2418"/>
    <w:rsid w:val="56DE3819"/>
    <w:rsid w:val="56E7494F"/>
    <w:rsid w:val="57491246"/>
    <w:rsid w:val="57AFC66B"/>
    <w:rsid w:val="58270CAA"/>
    <w:rsid w:val="582E21B0"/>
    <w:rsid w:val="59143F10"/>
    <w:rsid w:val="591C1AB1"/>
    <w:rsid w:val="5A0670BC"/>
    <w:rsid w:val="5ADB5B1C"/>
    <w:rsid w:val="5B5B4122"/>
    <w:rsid w:val="5C3174AF"/>
    <w:rsid w:val="5C485419"/>
    <w:rsid w:val="5C5D3791"/>
    <w:rsid w:val="5C765CD5"/>
    <w:rsid w:val="5DCA60C0"/>
    <w:rsid w:val="5E1940A5"/>
    <w:rsid w:val="5E470C31"/>
    <w:rsid w:val="5E520802"/>
    <w:rsid w:val="5E666E3A"/>
    <w:rsid w:val="5E7819B2"/>
    <w:rsid w:val="5EB0629E"/>
    <w:rsid w:val="5ED84517"/>
    <w:rsid w:val="5FEB3F21"/>
    <w:rsid w:val="5FF78C79"/>
    <w:rsid w:val="60160E89"/>
    <w:rsid w:val="60937860"/>
    <w:rsid w:val="61396D2C"/>
    <w:rsid w:val="61572122"/>
    <w:rsid w:val="61697D26"/>
    <w:rsid w:val="6233686D"/>
    <w:rsid w:val="62C87D28"/>
    <w:rsid w:val="630B61E0"/>
    <w:rsid w:val="635E0401"/>
    <w:rsid w:val="63964D72"/>
    <w:rsid w:val="63DB274A"/>
    <w:rsid w:val="645D62DB"/>
    <w:rsid w:val="64C73E7F"/>
    <w:rsid w:val="65B73FF4"/>
    <w:rsid w:val="65C679B4"/>
    <w:rsid w:val="65EE6A0D"/>
    <w:rsid w:val="664376A2"/>
    <w:rsid w:val="66646C8E"/>
    <w:rsid w:val="66F27FB8"/>
    <w:rsid w:val="6712785F"/>
    <w:rsid w:val="67C57BDF"/>
    <w:rsid w:val="685C2397"/>
    <w:rsid w:val="68DA1178"/>
    <w:rsid w:val="69366FBB"/>
    <w:rsid w:val="694D0994"/>
    <w:rsid w:val="69C228A8"/>
    <w:rsid w:val="69C67322"/>
    <w:rsid w:val="6AE878F6"/>
    <w:rsid w:val="6B7C185B"/>
    <w:rsid w:val="6BFF6042"/>
    <w:rsid w:val="6C765B9F"/>
    <w:rsid w:val="6DB76B4F"/>
    <w:rsid w:val="6DBC1E3F"/>
    <w:rsid w:val="6E7C5FA5"/>
    <w:rsid w:val="6EAA3D07"/>
    <w:rsid w:val="6EAD6E4A"/>
    <w:rsid w:val="6EBE4CD9"/>
    <w:rsid w:val="6ED23A09"/>
    <w:rsid w:val="6ED81C88"/>
    <w:rsid w:val="6F2F1BC2"/>
    <w:rsid w:val="6F7F13C2"/>
    <w:rsid w:val="6FD27D0A"/>
    <w:rsid w:val="6FDA60E2"/>
    <w:rsid w:val="701D2A50"/>
    <w:rsid w:val="70B87BFC"/>
    <w:rsid w:val="71D67B09"/>
    <w:rsid w:val="71FF3CCD"/>
    <w:rsid w:val="72925660"/>
    <w:rsid w:val="733FD5F8"/>
    <w:rsid w:val="73B6985D"/>
    <w:rsid w:val="743A1762"/>
    <w:rsid w:val="746A54E1"/>
    <w:rsid w:val="747E7EE0"/>
    <w:rsid w:val="75A239ED"/>
    <w:rsid w:val="75B61831"/>
    <w:rsid w:val="761F2EF6"/>
    <w:rsid w:val="762148D2"/>
    <w:rsid w:val="765100C0"/>
    <w:rsid w:val="766B038F"/>
    <w:rsid w:val="76C66684"/>
    <w:rsid w:val="76FCC1F8"/>
    <w:rsid w:val="77004D04"/>
    <w:rsid w:val="775F36D1"/>
    <w:rsid w:val="77956C77"/>
    <w:rsid w:val="779F23AB"/>
    <w:rsid w:val="77F7791B"/>
    <w:rsid w:val="77FBBE40"/>
    <w:rsid w:val="781016B6"/>
    <w:rsid w:val="78150A1E"/>
    <w:rsid w:val="78626524"/>
    <w:rsid w:val="797417EC"/>
    <w:rsid w:val="7BC77CFB"/>
    <w:rsid w:val="7BD92F92"/>
    <w:rsid w:val="7BE251FE"/>
    <w:rsid w:val="7BFF5734"/>
    <w:rsid w:val="7C1316D0"/>
    <w:rsid w:val="7CDB9DBF"/>
    <w:rsid w:val="7D5D504C"/>
    <w:rsid w:val="7D943B2C"/>
    <w:rsid w:val="7DA7037A"/>
    <w:rsid w:val="7DAD15F5"/>
    <w:rsid w:val="7DD957F2"/>
    <w:rsid w:val="7E9F15D9"/>
    <w:rsid w:val="7F040607"/>
    <w:rsid w:val="7F7A13A9"/>
    <w:rsid w:val="7F9749C6"/>
    <w:rsid w:val="7FCF9111"/>
    <w:rsid w:val="7FDF62C4"/>
    <w:rsid w:val="7FFFC4E7"/>
    <w:rsid w:val="AFADF1CB"/>
    <w:rsid w:val="B9EF4486"/>
    <w:rsid w:val="BA7B23C6"/>
    <w:rsid w:val="D36966A1"/>
    <w:rsid w:val="D5F2F75F"/>
    <w:rsid w:val="E8FD6B54"/>
    <w:rsid w:val="EDFCF644"/>
    <w:rsid w:val="EE7E8A56"/>
    <w:rsid w:val="F6EF022B"/>
    <w:rsid w:val="F7FEB133"/>
    <w:rsid w:val="FAF34757"/>
    <w:rsid w:val="FE734873"/>
    <w:rsid w:val="FF71D65D"/>
    <w:rsid w:val="FFB3BCC2"/>
    <w:rsid w:val="FFB888DB"/>
    <w:rsid w:val="FFEF3C7A"/>
    <w:rsid w:val="FFF71448"/>
    <w:rsid w:val="FFFFFB11"/>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qFormat/>
    <w:uiPriority w:val="0"/>
    <w:pPr>
      <w:keepNext/>
      <w:keepLines/>
      <w:outlineLvl w:val="1"/>
    </w:pPr>
    <w:rPr>
      <w:rFonts w:ascii="Arial" w:hAnsi="Arial" w:eastAsia="黑体"/>
    </w:rPr>
  </w:style>
  <w:style w:type="paragraph" w:styleId="4">
    <w:name w:val="heading 3"/>
    <w:basedOn w:val="1"/>
    <w:next w:val="1"/>
    <w:link w:val="10"/>
    <w:qFormat/>
    <w:uiPriority w:val="0"/>
    <w:pPr>
      <w:keepNext/>
      <w:keepLines/>
      <w:outlineLvl w:val="2"/>
    </w:pPr>
    <w:rPr>
      <w:rFonts w:eastAsia="楷体_GB2312"/>
    </w:rPr>
  </w:style>
  <w:style w:type="character" w:default="1" w:styleId="9">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customStyle="1" w:styleId="10">
    <w:name w:val="标题 3 Char"/>
    <w:link w:val="4"/>
    <w:qFormat/>
    <w:uiPriority w:val="0"/>
    <w:rPr>
      <w:rFonts w:ascii="Calibri" w:hAnsi="Calibri" w:eastAsia="楷体_GB2312"/>
    </w:rPr>
  </w:style>
  <w:style w:type="paragraph" w:customStyle="1" w:styleId="11">
    <w:name w:val="Char1 Char Char Char Char Char Char"/>
    <w:basedOn w:val="1"/>
    <w:qFormat/>
    <w:uiPriority w:val="0"/>
    <w:pPr>
      <w:spacing w:line="360" w:lineRule="auto"/>
      <w:ind w:firstLine="200" w:firstLineChars="200"/>
    </w:pPr>
    <w:rPr>
      <w:rFonts w:ascii="宋体" w:hAnsi="宋体" w:cs="宋体"/>
      <w:sz w:val="24"/>
      <w:szCs w:val="20"/>
    </w:rPr>
  </w:style>
  <w:style w:type="paragraph" w:customStyle="1" w:styleId="12">
    <w:name w:val="Char1 Char Char Char Char Char Char1"/>
    <w:basedOn w:val="1"/>
    <w:qFormat/>
    <w:uiPriority w:val="0"/>
    <w:pPr>
      <w:spacing w:line="360" w:lineRule="auto"/>
      <w:ind w:firstLine="200" w:firstLineChars="200"/>
    </w:pPr>
    <w:rPr>
      <w:rFonts w:ascii="宋体" w:hAnsi="宋体" w:cs="宋体"/>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HP Inc.</Company>
  <Pages>1</Pages>
  <Words>200</Words>
  <Characters>1144</Characters>
  <Lines>9</Lines>
  <Paragraphs>2</Paragraphs>
  <TotalTime>21</TotalTime>
  <ScaleCrop>false</ScaleCrop>
  <LinksUpToDate>false</LinksUpToDate>
  <CharactersWithSpaces>1342</CharactersWithSpaces>
  <Application>WWO_openplatform_20210507165418-e6971cd0a6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2022-12-15T16:50:00Z</dcterms:created>
  <dc:creator>陈葭晔</dc:creator>
  <cp:lastModifiedBy>姜昊</cp:lastModifiedBy>
  <cp:lastPrinted>2021-12-29T18:37:00Z</cp:lastPrinted>
  <dcterms:modified xsi:type="dcterms:W3CDTF">2022-12-26T12:47:45Z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woTemplateTypoMode">
    <vt:lpwstr>web</vt:lpwstr>
  </property>
  <property fmtid="{D5CDD505-2E9C-101B-9397-08002B2CF9AE}" pid="4" name="woTemplate">
    <vt:r8>1</vt:r8>
  </property>
</Properties>
</file>