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jc w:val="center"/>
        <w:rPr>
          <w:rFonts w:ascii="方正小标宋简体" w:eastAsia="方正小标宋简体"/>
          <w:b w:val="0"/>
          <w:bCs w:val="0"/>
          <w:sz w:val="44"/>
          <w:szCs w:val="44"/>
        </w:rPr>
      </w:pPr>
      <w:bookmarkStart w:id="0" w:name="_Toc72759885"/>
      <w:r>
        <w:rPr>
          <w:rFonts w:hint="eastAsia" w:ascii="方正小标宋简体" w:eastAsia="方正小标宋简体"/>
          <w:b w:val="0"/>
          <w:bCs w:val="0"/>
          <w:sz w:val="44"/>
          <w:szCs w:val="44"/>
        </w:rPr>
        <w:t>浙江省自然资源厅关于加强风暴潮灾害重点防御区管理的指导意见</w:t>
      </w:r>
      <w:bookmarkEnd w:id="0"/>
    </w:p>
    <w:p>
      <w:pPr>
        <w:spacing w:line="640" w:lineRule="exact"/>
        <w:jc w:val="center"/>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二次征求意见稿</w:t>
      </w:r>
      <w:r>
        <w:rPr>
          <w:rFonts w:hint="eastAsia" w:ascii="楷体_GB2312" w:hAnsi="楷体_GB2312" w:eastAsia="楷体_GB2312" w:cs="楷体_GB2312"/>
          <w:b/>
          <w:bCs/>
          <w:color w:val="000000"/>
          <w:sz w:val="32"/>
          <w:szCs w:val="32"/>
        </w:rPr>
        <w:t>）</w:t>
      </w:r>
    </w:p>
    <w:p>
      <w:pPr>
        <w:spacing w:line="600" w:lineRule="exact"/>
        <w:rPr>
          <w:rFonts w:ascii="华文楷体" w:hAnsi="华文楷体" w:eastAsia="华文楷体"/>
          <w:b/>
          <w:bCs/>
          <w:color w:val="000000"/>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沿海各设区市、县（市、区）人民政府，省直各有关单位：</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风暴潮灾害重点防御区是指受风暴潮灾害影响可能造成严重灾害损失、需要重点加强风暴潮防灾减灾工作的区域。为加强和规范风暴潮灾害重点防御区管理，防御和减轻风暴潮灾害，保障人民生命财产安全，促进经济社会可持续发展和社会和谐稳定，根据国务院《海洋观测预报管理条例》《中共浙江省委 浙江省人民政府关于推进防灾减灾救灾体制机制改革的实施意见》《浙江省防汛防台抗旱条例》《浙江省人民政府关于进一步加强防汛防台工作的若干意见》等有关文件要求，省自然资源厅组织划定了以乡镇（街道）为单元的全省风暴潮灾害重点区</w:t>
      </w:r>
      <w:r>
        <w:rPr>
          <w:rFonts w:hint="eastAsia" w:ascii="仿宋_GB2312" w:hAnsi="仿宋_GB2312" w:eastAsia="仿宋_GB2312" w:cs="仿宋_GB2312"/>
          <w:color w:val="000000"/>
          <w:sz w:val="32"/>
          <w:szCs w:val="32"/>
          <w:lang w:eastAsia="zh-CN"/>
        </w:rPr>
        <w:t>（见附件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，经省政府同意，现予以公布，并就加强风暴潮灾害重点防御区管理提出以下意见。</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一、总体要求</w:t>
      </w:r>
    </w:p>
    <w:p>
      <w:pPr>
        <w:widowControl/>
        <w:wordWrap w:val="0"/>
        <w:overflowPunct w:val="0"/>
        <w:adjustRightInd w:val="0"/>
        <w:snapToGrid w:val="0"/>
        <w:spacing w:line="600" w:lineRule="exact"/>
        <w:ind w:firstLine="643" w:firstLineChars="200"/>
        <w:rPr>
          <w:rFonts w:ascii="仿宋_GB2312" w:hAnsi="仿宋_GB2312" w:eastAsia="仿宋_GB2312" w:cs="仿宋_GB2312"/>
          <w:b/>
          <w:bCs/>
          <w:color w:val="000000"/>
          <w:sz w:val="32"/>
          <w:szCs w:val="32"/>
        </w:rPr>
      </w:pPr>
      <w:r>
        <w:rPr>
          <w:rFonts w:hint="eastAsia" w:ascii="楷体_GB2312" w:eastAsia="楷体_GB2312"/>
          <w:b/>
          <w:bCs/>
          <w:color w:val="000000"/>
          <w:sz w:val="32"/>
          <w:szCs w:val="32"/>
        </w:rPr>
        <w:t>（一）指导思想</w:t>
      </w:r>
      <w:r>
        <w:rPr>
          <w:rFonts w:hint="eastAsia"/>
          <w:b/>
          <w:bCs/>
          <w:color w:val="000000"/>
          <w:sz w:val="32"/>
          <w:szCs w:val="32"/>
        </w:rPr>
        <w:t>。</w:t>
      </w:r>
      <w:r>
        <w:rPr>
          <w:rFonts w:hint="eastAsia" w:ascii="仿宋_GB2312" w:hAnsi="仿宋_GB2312" w:eastAsia="仿宋_GB2312" w:cs="仿宋_GB2312"/>
          <w:color w:val="000000"/>
          <w:sz w:val="32"/>
          <w:szCs w:val="32"/>
        </w:rPr>
        <w:t>深入学习贯彻习近平总书记关于防灾减灾救灾重要论述，认真落实党中央、国务院关于提高自然灾害防治能力的决策部署，按照“干在实处永无止境、走在前列要谋新篇、勇立潮头方显担当”的要求，以忠实践行“八八战略”、奋力打造“重要窗口”的使命担当，强化责任落实、风险防范和能力建设，促进多部门联动，完善基层风暴潮灾害防御体系，全面提升</w:t>
      </w:r>
      <w:r>
        <w:rPr>
          <w:rFonts w:hint="eastAsia" w:ascii="仿宋_GB2312" w:hAnsi="仿宋_GB2312" w:eastAsia="仿宋_GB2312" w:cs="仿宋_GB2312"/>
          <w:color w:val="000000"/>
          <w:sz w:val="32"/>
          <w:szCs w:val="32"/>
          <w:lang w:eastAsia="zh-CN"/>
        </w:rPr>
        <w:t>浙江省</w:t>
      </w:r>
      <w:r>
        <w:rPr>
          <w:rFonts w:hint="eastAsia" w:ascii="仿宋_GB2312" w:hAnsi="仿宋_GB2312" w:eastAsia="仿宋_GB2312" w:cs="仿宋_GB2312"/>
          <w:color w:val="000000"/>
          <w:sz w:val="32"/>
          <w:szCs w:val="32"/>
        </w:rPr>
        <w:t>风暴潮灾害风险管控能力，为建设“重要窗口”和争创社会主义现代化先行省营造良好环境。</w:t>
      </w:r>
    </w:p>
    <w:p>
      <w:pPr>
        <w:widowControl/>
        <w:wordWrap w:val="0"/>
        <w:overflowPunct w:val="0"/>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eastAsia="楷体_GB2312"/>
          <w:b/>
          <w:bCs/>
          <w:color w:val="000000"/>
          <w:sz w:val="32"/>
          <w:szCs w:val="32"/>
        </w:rPr>
        <w:t>（二）主要目标。</w:t>
      </w:r>
      <w:r>
        <w:rPr>
          <w:rFonts w:hint="eastAsia" w:ascii="仿宋_GB2312" w:hAnsi="仿宋_GB2312" w:eastAsia="仿宋_GB2312" w:cs="仿宋_GB2312"/>
          <w:color w:val="000000"/>
          <w:sz w:val="32"/>
          <w:szCs w:val="32"/>
        </w:rPr>
        <w:t>以风暴潮灾害重点防御区的精细化管理为抓手，全面提升防灾减灾综合能力</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bCs/>
          <w:color w:val="000000"/>
          <w:sz w:val="32"/>
          <w:szCs w:val="32"/>
          <w:lang w:val="zh-CN"/>
        </w:rPr>
        <w:t>构建防灾减灾全链条闭环管理、基层防汛防台与海洋减灾工作体系相融合</w:t>
      </w:r>
      <w:r>
        <w:rPr>
          <w:rFonts w:hint="eastAsia" w:hAnsi="仿宋_GB2312" w:eastAsia="仿宋_GB2312"/>
          <w:color w:val="000000"/>
          <w:sz w:val="32"/>
          <w:szCs w:val="32"/>
        </w:rPr>
        <w:t>的海洋防灾减灾新格局</w:t>
      </w:r>
      <w:r>
        <w:rPr>
          <w:rFonts w:hint="eastAsia" w:ascii="仿宋_GB2312" w:hAnsi="仿宋_GB2312" w:eastAsia="仿宋_GB2312" w:cs="仿宋_GB2312"/>
          <w:bCs/>
          <w:color w:val="000000"/>
          <w:sz w:val="32"/>
          <w:szCs w:val="32"/>
        </w:rPr>
        <w:t>。</w:t>
      </w:r>
    </w:p>
    <w:p>
      <w:pPr>
        <w:widowControl/>
        <w:wordWrap w:val="0"/>
        <w:overflowPunct w:val="0"/>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二、主要任务</w:t>
      </w:r>
    </w:p>
    <w:p>
      <w:pPr>
        <w:widowControl/>
        <w:shd w:val="clear" w:color="auto" w:fill="FFFFFF"/>
        <w:wordWrap w:val="0"/>
        <w:spacing w:line="600" w:lineRule="exact"/>
        <w:ind w:firstLine="643" w:firstLineChars="200"/>
        <w:rPr>
          <w:rFonts w:ascii="仿宋_GB2312" w:eastAsia="仿宋_GB2312"/>
          <w:b/>
          <w:bCs/>
          <w:color w:val="000000"/>
          <w:sz w:val="32"/>
          <w:szCs w:val="32"/>
        </w:rPr>
      </w:pPr>
      <w:r>
        <w:rPr>
          <w:rFonts w:hint="eastAsia" w:ascii="楷体_GB2312" w:eastAsia="楷体_GB2312"/>
          <w:b/>
          <w:bCs/>
          <w:color w:val="000000"/>
          <w:sz w:val="32"/>
          <w:szCs w:val="32"/>
        </w:rPr>
        <w:t>（三）健全工作机制，明确主体责任。</w:t>
      </w:r>
      <w:r>
        <w:rPr>
          <w:rFonts w:hint="eastAsia" w:ascii="仿宋_GB2312" w:hAnsi="仿宋_GB2312" w:eastAsia="仿宋_GB2312" w:cs="仿宋_GB2312"/>
          <w:color w:val="000000"/>
          <w:sz w:val="32"/>
          <w:szCs w:val="32"/>
        </w:rPr>
        <w:t>省海洋灾害应急指挥部成立省级专家咨询队伍，研究相关政策法规，在</w:t>
      </w:r>
      <w:r>
        <w:rPr>
          <w:rFonts w:ascii="仿宋_GB2312" w:hAnsi="仿宋_GB2312" w:eastAsia="仿宋_GB2312" w:cs="仿宋_GB2312"/>
          <w:color w:val="000000"/>
          <w:sz w:val="32"/>
          <w:szCs w:val="32"/>
        </w:rPr>
        <w:t>重大项目的立项</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评审</w:t>
      </w:r>
      <w:r>
        <w:rPr>
          <w:rFonts w:hint="eastAsia" w:ascii="仿宋_GB2312" w:hAnsi="仿宋_GB2312" w:eastAsia="仿宋_GB2312" w:cs="仿宋_GB2312"/>
          <w:color w:val="000000"/>
          <w:sz w:val="32"/>
          <w:szCs w:val="32"/>
        </w:rPr>
        <w:t>及海洋灾害</w:t>
      </w:r>
      <w:r>
        <w:rPr>
          <w:rFonts w:ascii="仿宋_GB2312" w:hAnsi="仿宋_GB2312" w:eastAsia="仿宋_GB2312" w:cs="仿宋_GB2312"/>
          <w:color w:val="000000"/>
          <w:sz w:val="32"/>
          <w:szCs w:val="32"/>
        </w:rPr>
        <w:t>突发事件的预防、准备和处置各环节给予技术指导</w:t>
      </w:r>
      <w:r>
        <w:rPr>
          <w:rFonts w:hint="eastAsia" w:ascii="仿宋_GB2312" w:hAnsi="仿宋_GB2312" w:eastAsia="仿宋_GB2312" w:cs="仿宋_GB2312"/>
          <w:color w:val="000000"/>
          <w:sz w:val="32"/>
          <w:szCs w:val="32"/>
        </w:rPr>
        <w:t>。省自然资源厅组织开展重点防御区动态化更新。沿海各县（市、区）自然资源主管部门制订相应的重点防御区管理办法。构建风暴潮防御与防汛防台体系高度融合的运作模式，推进风险普查、预警预报、灾害信息等与省自然灾害数字化平台深度融合，依托基层防汛防台体系组建海洋灾害防御队伍，提高风暴潮灾害防灾减灾的整体能力。</w:t>
      </w:r>
    </w:p>
    <w:p>
      <w:pPr>
        <w:widowControl/>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eastAsia="楷体_GB2312"/>
          <w:b/>
          <w:bCs/>
          <w:color w:val="000000"/>
          <w:sz w:val="32"/>
          <w:szCs w:val="32"/>
        </w:rPr>
        <w:t>（四）科学编制规划，加强风险防范。</w:t>
      </w:r>
      <w:r>
        <w:rPr>
          <w:rFonts w:hint="eastAsia" w:ascii="仿宋_GB2312" w:hAnsi="仿宋_GB2312" w:eastAsia="仿宋_GB2312" w:cs="仿宋_GB2312"/>
          <w:color w:val="000000"/>
          <w:sz w:val="32"/>
          <w:szCs w:val="32"/>
        </w:rPr>
        <w:t>在编制国土空间规划、海岸带保护利用规划等规划时，应统筹考虑风暴潮灾害的风险和隐患，强化自然岸线保护和无居民海岛保护，促进生态、减灾协同增效。鼓励风暴潮灾害重点防御区编制专项防治规划。在重点防御区内设立产业园区、进行重大项目建设的，项目建设单位应当在项目可行性论证阶段，进行风暴潮灾害风险评估，预测和评估灾害影响。</w:t>
      </w:r>
    </w:p>
    <w:p>
      <w:pPr>
        <w:widowControl/>
        <w:snapToGrid w:val="0"/>
        <w:spacing w:line="600" w:lineRule="exact"/>
        <w:ind w:firstLine="643" w:firstLineChars="200"/>
        <w:rPr>
          <w:rFonts w:ascii="仿宋_GB2312" w:eastAsia="仿宋_GB2312"/>
          <w:b/>
          <w:bCs/>
          <w:color w:val="000000"/>
          <w:sz w:val="32"/>
          <w:szCs w:val="32"/>
        </w:rPr>
      </w:pPr>
      <w:r>
        <w:rPr>
          <w:rFonts w:hint="eastAsia" w:ascii="楷体_GB2312" w:eastAsia="楷体_GB2312"/>
          <w:b/>
          <w:bCs/>
          <w:color w:val="000000"/>
          <w:sz w:val="32"/>
          <w:szCs w:val="32"/>
        </w:rPr>
        <w:t>（五）强化能力建设，提升减灾水平。</w:t>
      </w:r>
      <w:r>
        <w:rPr>
          <w:rFonts w:hint="eastAsia" w:ascii="仿宋_GB2312" w:hAnsi="仿宋_GB2312" w:eastAsia="仿宋_GB2312" w:cs="仿宋_GB2312"/>
          <w:color w:val="000000"/>
          <w:sz w:val="32"/>
          <w:szCs w:val="32"/>
        </w:rPr>
        <w:t>加强防灾减灾基础设施建设，依托海塘建设工程，提高现有海塘防御标准；加强减灾能力建设，重点防御区应具备“八个有”，即：有组织保障体系、有重点防御区管控图(表）、有灾害监测系统（潮位观测站、观测浮标、警戒潮位预警标志等）、有精细化预报服务、有重点防御区管理办法、有风暴潮灾害应急避灾安置点、有应急处置预案、有海洋灾情调查统计台账和制度。</w:t>
      </w:r>
    </w:p>
    <w:p>
      <w:pPr>
        <w:spacing w:line="600" w:lineRule="exact"/>
        <w:ind w:firstLine="643" w:firstLineChars="200"/>
        <w:rPr>
          <w:rFonts w:ascii="仿宋_GB2312" w:hAnsi="仿宋_GB2312" w:eastAsia="仿宋_GB2312" w:cs="仿宋_GB2312"/>
          <w:color w:val="000000"/>
          <w:sz w:val="32"/>
          <w:szCs w:val="32"/>
        </w:rPr>
      </w:pPr>
      <w:r>
        <w:rPr>
          <w:rFonts w:hint="eastAsia" w:ascii="楷体_GB2312" w:eastAsia="楷体_GB2312"/>
          <w:b/>
          <w:bCs/>
          <w:color w:val="000000"/>
          <w:sz w:val="32"/>
          <w:szCs w:val="32"/>
        </w:rPr>
        <w:t>（六）加强部门联动，推进综合减灾。</w:t>
      </w:r>
      <w:r>
        <w:rPr>
          <w:rFonts w:hint="eastAsia" w:ascii="仿宋_GB2312" w:hAnsi="仿宋_GB2312" w:eastAsia="仿宋_GB2312" w:cs="仿宋_GB2312"/>
          <w:color w:val="000000"/>
          <w:sz w:val="32"/>
          <w:szCs w:val="32"/>
        </w:rPr>
        <w:t>强化多部门联合会商、联合预警、联合应急处置和灾情调查评估，完善信息共享机制，突出风暴潮灾害科普宣传和应急演练，构建海洋灾害隐患排查和治理长效机制。重点防御区要定期开展灾害风险普查、减灾能力评价、风暴潮动态风险评估，强化风暴潮灾害风险图与省自然灾害数字化平台风险一张图的对接融合，提升综合减灾辅助支撑水平。</w:t>
      </w:r>
    </w:p>
    <w:p>
      <w:pPr>
        <w:widowControl/>
        <w:adjustRightInd w:val="0"/>
        <w:snapToGrid w:val="0"/>
        <w:spacing w:line="600" w:lineRule="exact"/>
        <w:ind w:firstLine="643" w:firstLineChars="200"/>
        <w:rPr>
          <w:rFonts w:ascii="仿宋_GB2312" w:hAnsi="仿宋_GB2312" w:eastAsia="仿宋_GB2312" w:cs="仿宋_GB2312"/>
          <w:color w:val="000000"/>
          <w:sz w:val="32"/>
          <w:szCs w:val="32"/>
        </w:rPr>
      </w:pPr>
      <w:r>
        <w:rPr>
          <w:rFonts w:hint="eastAsia" w:ascii="楷体_GB2312" w:eastAsia="楷体_GB2312"/>
          <w:b/>
          <w:bCs/>
          <w:color w:val="000000"/>
          <w:sz w:val="32"/>
          <w:szCs w:val="32"/>
        </w:rPr>
        <w:t>(七）强化宣传演练，提升防灾意识。</w:t>
      </w:r>
      <w:r>
        <w:rPr>
          <w:rFonts w:hint="eastAsia" w:ascii="仿宋_GB2312" w:eastAsia="仿宋_GB2312"/>
          <w:color w:val="000000"/>
          <w:sz w:val="32"/>
          <w:szCs w:val="32"/>
        </w:rPr>
        <w:t>将海洋防灾减灾纳入国民教育计划，加强科普宣传，建设防灾减灾救灾宣传教育基地，打造开放式防灾减灾救灾网络交流平台。重点防御区内的机关、企事业单位、社区应当定期开展防灾减灾宣传教育和应急演练，增强社会公众的风险防范意识和应急避险、自救互救技能。</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三、保障措施</w:t>
      </w:r>
    </w:p>
    <w:p>
      <w:pPr>
        <w:spacing w:line="600" w:lineRule="exact"/>
        <w:ind w:firstLine="643" w:firstLineChars="200"/>
        <w:rPr>
          <w:rFonts w:ascii="仿宋_GB2312" w:eastAsia="仿宋_GB2312"/>
          <w:b/>
          <w:bCs/>
          <w:color w:val="000000"/>
          <w:sz w:val="32"/>
          <w:szCs w:val="32"/>
        </w:rPr>
      </w:pPr>
      <w:r>
        <w:rPr>
          <w:rFonts w:hint="eastAsia" w:ascii="楷体_GB2312" w:eastAsia="楷体_GB2312"/>
          <w:b/>
          <w:bCs/>
          <w:color w:val="000000"/>
          <w:sz w:val="32"/>
          <w:szCs w:val="32"/>
        </w:rPr>
        <w:t>（八）加强组织领导。</w:t>
      </w:r>
      <w:r>
        <w:rPr>
          <w:rFonts w:hint="eastAsia" w:ascii="仿宋_GB2312" w:hAnsi="仿宋_GB2312" w:eastAsia="仿宋_GB2312" w:cs="仿宋_GB2312"/>
          <w:color w:val="000000"/>
          <w:sz w:val="32"/>
          <w:szCs w:val="32"/>
        </w:rPr>
        <w:t>各地要统一思想，加强组织领导，充分认识风暴潮灾害防控工作的重要性、长期性和艰巨性，抓紧制定落实本指导意见的细化方案，切实落实主体责任，完善工作机制，认真做好相关任务的组织实施。</w:t>
      </w:r>
    </w:p>
    <w:p>
      <w:pPr>
        <w:spacing w:line="600" w:lineRule="exact"/>
        <w:ind w:firstLine="643" w:firstLineChars="200"/>
        <w:rPr>
          <w:rFonts w:ascii="仿宋_GB2312" w:eastAsia="仿宋_GB2312"/>
          <w:b/>
          <w:bCs/>
          <w:color w:val="000000"/>
          <w:sz w:val="32"/>
          <w:szCs w:val="32"/>
        </w:rPr>
      </w:pPr>
      <w:r>
        <w:rPr>
          <w:rFonts w:hint="eastAsia" w:ascii="楷体_GB2312" w:eastAsia="楷体_GB2312"/>
          <w:b/>
          <w:bCs/>
          <w:color w:val="000000"/>
          <w:sz w:val="32"/>
          <w:szCs w:val="32"/>
        </w:rPr>
        <w:t>（九）强化投入保障。</w:t>
      </w:r>
      <w:r>
        <w:rPr>
          <w:rFonts w:hint="eastAsia" w:ascii="仿宋_GB2312" w:hAnsi="仿宋_GB2312" w:eastAsia="仿宋_GB2312" w:cs="仿宋_GB2312"/>
          <w:color w:val="000000"/>
          <w:sz w:val="32"/>
          <w:szCs w:val="32"/>
        </w:rPr>
        <w:t>重点防御区所在的县级以上人民政府要把重点防御区工作经费列入同级财政预算，建立长期稳定的公共财政投入机制，确定年度实施计划，统筹安排经费支出预算。</w:t>
      </w:r>
    </w:p>
    <w:p>
      <w:pPr>
        <w:spacing w:line="600" w:lineRule="exact"/>
        <w:ind w:firstLine="643" w:firstLineChars="200"/>
        <w:rPr>
          <w:rFonts w:ascii="仿宋_GB2312" w:hAnsi="仿宋_GB2312" w:eastAsia="仿宋_GB2312" w:cs="仿宋_GB2312"/>
          <w:color w:val="000000"/>
          <w:sz w:val="32"/>
          <w:szCs w:val="32"/>
        </w:rPr>
      </w:pPr>
      <w:r>
        <w:rPr>
          <w:rFonts w:hint="eastAsia" w:ascii="楷体_GB2312" w:eastAsia="楷体_GB2312"/>
          <w:b/>
          <w:bCs/>
          <w:color w:val="000000"/>
          <w:sz w:val="32"/>
          <w:szCs w:val="32"/>
        </w:rPr>
        <w:t>（十）强化检查督导。</w:t>
      </w:r>
      <w:r>
        <w:rPr>
          <w:rFonts w:hint="eastAsia" w:ascii="仿宋_GB2312" w:hAnsi="仿宋_GB2312" w:eastAsia="仿宋_GB2312" w:cs="仿宋_GB2312"/>
          <w:color w:val="000000"/>
          <w:sz w:val="32"/>
          <w:szCs w:val="32"/>
        </w:rPr>
        <w:t>各级海洋灾害应急指挥机构应在同级人民政府指导下，</w:t>
      </w:r>
      <w:r>
        <w:rPr>
          <w:rFonts w:hint="eastAsia" w:ascii="仿宋_GB2312" w:hAnsi="仿宋_GB2312" w:eastAsia="仿宋_GB2312" w:cs="仿宋_GB2312"/>
          <w:color w:val="000000"/>
          <w:sz w:val="32"/>
          <w:szCs w:val="32"/>
          <w:lang w:eastAsia="zh-CN"/>
        </w:rPr>
        <w:t>积极履行</w:t>
      </w:r>
      <w:r>
        <w:rPr>
          <w:rFonts w:hint="eastAsia" w:ascii="仿宋_GB2312" w:hAnsi="仿宋_GB2312" w:eastAsia="仿宋_GB2312" w:cs="仿宋_GB2312"/>
          <w:color w:val="000000"/>
          <w:sz w:val="32"/>
          <w:szCs w:val="32"/>
        </w:rPr>
        <w:t>定期检查督导</w:t>
      </w:r>
      <w:r>
        <w:rPr>
          <w:rFonts w:hint="eastAsia" w:ascii="仿宋_GB2312" w:hAnsi="仿宋_GB2312" w:eastAsia="仿宋_GB2312" w:cs="仿宋_GB2312"/>
          <w:color w:val="000000"/>
          <w:sz w:val="32"/>
          <w:szCs w:val="32"/>
          <w:lang w:eastAsia="zh-CN"/>
        </w:rPr>
        <w:t>职责，推动</w:t>
      </w:r>
      <w:r>
        <w:rPr>
          <w:rFonts w:hint="eastAsia" w:ascii="仿宋_GB2312" w:hAnsi="仿宋_GB2312" w:eastAsia="仿宋_GB2312" w:cs="仿宋_GB2312"/>
          <w:color w:val="000000"/>
          <w:sz w:val="32"/>
          <w:szCs w:val="32"/>
        </w:rPr>
        <w:t>海洋灾害预防</w:t>
      </w:r>
      <w:r>
        <w:rPr>
          <w:rFonts w:hint="eastAsia" w:ascii="仿宋_GB2312" w:hAnsi="仿宋_GB2312" w:eastAsia="仿宋_GB2312" w:cs="仿宋_GB2312"/>
          <w:color w:val="000000"/>
          <w:sz w:val="32"/>
          <w:szCs w:val="32"/>
          <w:lang w:eastAsia="zh-CN"/>
        </w:rPr>
        <w:t>各项</w:t>
      </w:r>
      <w:r>
        <w:rPr>
          <w:rFonts w:hint="eastAsia" w:ascii="仿宋_GB2312" w:hAnsi="仿宋_GB2312" w:eastAsia="仿宋_GB2312" w:cs="仿宋_GB2312"/>
          <w:color w:val="000000"/>
          <w:sz w:val="32"/>
          <w:szCs w:val="32"/>
        </w:rPr>
        <w:t>措施</w:t>
      </w:r>
      <w:r>
        <w:rPr>
          <w:rFonts w:hint="eastAsia" w:ascii="仿宋_GB2312" w:hAnsi="仿宋_GB2312" w:eastAsia="仿宋_GB2312" w:cs="仿宋_GB2312"/>
          <w:color w:val="000000"/>
          <w:sz w:val="32"/>
          <w:szCs w:val="32"/>
          <w:lang w:eastAsia="zh-CN"/>
        </w:rPr>
        <w:t>的落实</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p>
    <w:p>
      <w:pPr>
        <w:bidi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附件：浙江省风暴潮灾害重点防御区分布图和涉及</w:t>
      </w:r>
      <w:r>
        <w:rPr>
          <w:rFonts w:hint="eastAsia" w:ascii="仿宋_GB2312" w:hAnsi="仿宋_GB2312" w:eastAsia="仿宋_GB2312" w:cs="仿宋_GB2312"/>
          <w:color w:val="000000"/>
          <w:sz w:val="32"/>
          <w:szCs w:val="32"/>
          <w:lang w:val="en-US" w:eastAsia="zh-CN"/>
        </w:rPr>
        <w:t>乡镇（街道、功能区）表</w:t>
      </w:r>
    </w:p>
    <w:p>
      <w:pPr>
        <w:spacing w:line="580" w:lineRule="exact"/>
        <w:ind w:firstLine="640" w:firstLineChars="200"/>
        <w:rPr>
          <w:rFonts w:hint="eastAsia" w:ascii="仿宋_GB2312" w:hAnsi="仿宋_GB2312" w:eastAsia="仿宋_GB2312" w:cs="仿宋_GB2312"/>
          <w:color w:val="000000"/>
          <w:sz w:val="32"/>
          <w:szCs w:val="32"/>
          <w:lang w:eastAsia="zh-CN"/>
        </w:rPr>
      </w:pPr>
    </w:p>
    <w:p>
      <w:pPr>
        <w:pStyle w:val="2"/>
        <w:rPr>
          <w:rFonts w:hint="eastAsia" w:ascii="仿宋_GB2312" w:hAnsi="仿宋_GB2312" w:eastAsia="仿宋_GB2312" w:cs="仿宋_GB2312"/>
          <w:color w:val="000000"/>
          <w:sz w:val="32"/>
          <w:szCs w:val="32"/>
          <w:lang w:eastAsia="zh-CN"/>
        </w:rPr>
      </w:pPr>
    </w:p>
    <w:p>
      <w:pPr>
        <w:pStyle w:val="2"/>
        <w:jc w:val="righ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浙江省自然资源厅</w:t>
      </w:r>
    </w:p>
    <w:p>
      <w:pPr>
        <w:pStyle w:val="2"/>
        <w:jc w:val="righ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2021年  月  日</w:t>
      </w:r>
    </w:p>
    <w:p>
      <w:pPr>
        <w:spacing w:line="580" w:lineRule="exact"/>
        <w:rPr>
          <w:rFonts w:hint="eastAsia" w:ascii="仿宋_GB2312" w:hAnsi="仿宋_GB2312" w:eastAsia="仿宋_GB2312" w:cs="仿宋_GB2312"/>
          <w:color w:val="000000"/>
          <w:sz w:val="32"/>
          <w:szCs w:val="32"/>
          <w:lang w:eastAsia="zh-CN"/>
        </w:rPr>
      </w:pPr>
    </w:p>
    <w:p>
      <w:pPr>
        <w:rPr>
          <w:rFonts w:hint="default"/>
          <w:b/>
          <w:bCs/>
          <w:sz w:val="24"/>
          <w:szCs w:val="28"/>
          <w:lang w:val="en-US" w:eastAsia="zh-CN"/>
        </w:rPr>
      </w:pPr>
      <w:r>
        <w:rPr>
          <w:rFonts w:hint="eastAsia"/>
          <w:b/>
          <w:bCs/>
          <w:sz w:val="24"/>
          <w:szCs w:val="28"/>
          <w:lang w:val="en-US" w:eastAsia="zh-CN"/>
        </w:rPr>
        <w:t>附件、浙江省风暴潮灾害重点防御区分布图（原版A1）</w:t>
      </w:r>
    </w:p>
    <w:p>
      <w:pPr>
        <w:bidi w:val="0"/>
        <w:jc w:val="center"/>
        <w:rPr>
          <w:rFonts w:hint="eastAsia"/>
          <w:b w:val="0"/>
          <w:bCs w:val="0"/>
          <w:kern w:val="2"/>
          <w:sz w:val="24"/>
          <w:szCs w:val="28"/>
          <w:lang w:val="en-US" w:eastAsia="zh-CN" w:bidi="ar-SA"/>
        </w:rPr>
      </w:pPr>
      <w:r>
        <w:rPr>
          <w:rFonts w:hint="eastAsia"/>
          <w:lang w:val="en-US" w:eastAsia="zh-CN"/>
        </w:rPr>
        <w:drawing>
          <wp:inline distT="0" distB="0" distL="114300" distR="114300">
            <wp:extent cx="5260340" cy="7449185"/>
            <wp:effectExtent l="0" t="0" r="16510" b="18415"/>
            <wp:docPr id="6" name="图片 1" descr="附件：浙江省风暴潮灾害重点防御区分布（A1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附件：浙江省风暴潮灾害重点防御区分布（A1版）"/>
                    <pic:cNvPicPr>
                      <a:picLocks noChangeAspect="1"/>
                    </pic:cNvPicPr>
                  </pic:nvPicPr>
                  <pic:blipFill>
                    <a:blip r:embed="rId5"/>
                    <a:stretch>
                      <a:fillRect/>
                    </a:stretch>
                  </pic:blipFill>
                  <pic:spPr>
                    <a:xfrm>
                      <a:off x="0" y="0"/>
                      <a:ext cx="5260340" cy="7449185"/>
                    </a:xfrm>
                    <a:prstGeom prst="rect">
                      <a:avLst/>
                    </a:prstGeom>
                    <a:noFill/>
                    <a:ln>
                      <a:noFill/>
                    </a:ln>
                  </pic:spPr>
                </pic:pic>
              </a:graphicData>
            </a:graphic>
          </wp:inline>
        </w:drawing>
      </w:r>
      <w:r>
        <w:rPr>
          <w:rFonts w:hint="eastAsia"/>
          <w:lang w:val="en-US" w:eastAsia="zh-CN"/>
        </w:rPr>
        <w:br w:type="page"/>
      </w:r>
      <w:r>
        <w:rPr>
          <w:rFonts w:hint="eastAsia"/>
          <w:b/>
          <w:bCs/>
          <w:kern w:val="2"/>
          <w:sz w:val="28"/>
          <w:szCs w:val="32"/>
          <w:lang w:val="en-US" w:eastAsia="zh-CN" w:bidi="ar-SA"/>
        </w:rPr>
        <w:t>浙江省风暴潮灾害重点防御区涉及的乡镇（街道、功能区）情况表</w:t>
      </w:r>
    </w:p>
    <w:tbl>
      <w:tblPr>
        <w:tblStyle w:val="25"/>
        <w:tblpPr w:leftFromText="180" w:rightFromText="180" w:vertAnchor="text" w:horzAnchor="page" w:tblpX="1791" w:tblpY="598"/>
        <w:tblOverlap w:val="neve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05"/>
        <w:gridCol w:w="1305"/>
        <w:gridCol w:w="1305"/>
        <w:gridCol w:w="2883"/>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blHeader/>
        </w:trPr>
        <w:tc>
          <w:tcPr>
            <w:tcW w:w="1305" w:type="dxa"/>
            <w:tcBorders>
              <w:top w:val="single" w:color="000000" w:sz="4" w:space="0"/>
              <w:left w:val="single" w:color="000000" w:sz="4" w:space="0"/>
              <w:bottom w:val="single" w:color="000000" w:sz="4" w:space="0"/>
              <w:right w:val="single" w:color="000000" w:sz="4" w:space="0"/>
            </w:tcBorders>
            <w:shd w:val="pct20"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地级市</w:t>
            </w:r>
          </w:p>
        </w:tc>
        <w:tc>
          <w:tcPr>
            <w:tcW w:w="1305" w:type="dxa"/>
            <w:tcBorders>
              <w:top w:val="single" w:color="000000" w:sz="4" w:space="0"/>
              <w:left w:val="single" w:color="000000" w:sz="4" w:space="0"/>
              <w:bottom w:val="single" w:color="000000" w:sz="4" w:space="0"/>
              <w:right w:val="single" w:color="000000" w:sz="4" w:space="0"/>
            </w:tcBorders>
            <w:shd w:val="pct20"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县级市</w:t>
            </w:r>
          </w:p>
        </w:tc>
        <w:tc>
          <w:tcPr>
            <w:tcW w:w="1305" w:type="dxa"/>
            <w:tcBorders>
              <w:top w:val="single" w:color="000000" w:sz="4" w:space="0"/>
              <w:left w:val="single" w:color="000000" w:sz="4" w:space="0"/>
              <w:bottom w:val="single" w:color="000000" w:sz="4" w:space="0"/>
              <w:right w:val="single" w:color="000000" w:sz="4" w:space="0"/>
            </w:tcBorders>
            <w:shd w:val="pct20"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序号</w:t>
            </w:r>
          </w:p>
        </w:tc>
        <w:tc>
          <w:tcPr>
            <w:tcW w:w="2883" w:type="dxa"/>
            <w:tcBorders>
              <w:top w:val="single" w:color="000000" w:sz="4" w:space="0"/>
              <w:left w:val="single" w:color="000000" w:sz="4" w:space="0"/>
              <w:bottom w:val="single" w:color="000000" w:sz="4" w:space="0"/>
              <w:right w:val="single" w:color="000000" w:sz="4" w:space="0"/>
            </w:tcBorders>
            <w:shd w:val="pct20" w:color="auto" w:fill="auto"/>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重点防御区所在乡镇/街道/功能区</w:t>
            </w:r>
          </w:p>
        </w:tc>
        <w:tc>
          <w:tcPr>
            <w:tcW w:w="1532" w:type="dxa"/>
            <w:tcBorders>
              <w:top w:val="single" w:color="000000" w:sz="4" w:space="0"/>
              <w:left w:val="single" w:color="000000" w:sz="4" w:space="0"/>
              <w:bottom w:val="single" w:color="000000" w:sz="4" w:space="0"/>
              <w:right w:val="single" w:color="000000" w:sz="4" w:space="0"/>
            </w:tcBorders>
            <w:shd w:val="pct20"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面积（km²）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嘉兴</w:t>
            </w: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海宁市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长安镇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周王庙镇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盐官镇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丁桥镇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尖山新区（黄湾镇）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袁花镇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海盐县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澉浦镇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秦山街道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武原街道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西塘桥街道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平湖市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乍浦镇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独山港镇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当湖街道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曹桥街道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林埭镇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新仓镇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宁波市</w:t>
            </w: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宁海县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西店镇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梅林街道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强蛟镇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跃龙街道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越溪乡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一市镇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茶院乡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力洋镇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长街镇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象山县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西周镇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黄避岙乡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涂茨镇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爵溪街道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泗洲头镇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茅洋乡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新桥镇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石浦镇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高塘岛乡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鹤浦镇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台州市</w:t>
            </w: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三门县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蛇蟠乡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沙柳街道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海润街道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健跳镇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横渡镇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浦坝港镇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花桥镇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临海市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古城街道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大洋街道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江南街道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邵家渡街道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汛桥镇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永丰镇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涌泉镇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沿江镇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杜桥镇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上盘镇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桃渚镇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椒江区</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前所街道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海门街道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台州湾</w:t>
            </w:r>
            <w:r>
              <w:rPr>
                <w:rFonts w:hint="eastAsia" w:asciiTheme="minorEastAsia" w:hAnsiTheme="minorEastAsia" w:cstheme="minorEastAsia"/>
                <w:i w:val="0"/>
                <w:color w:val="000000"/>
                <w:kern w:val="0"/>
                <w:sz w:val="22"/>
                <w:szCs w:val="22"/>
                <w:u w:val="none"/>
                <w:lang w:val="en-US" w:eastAsia="zh-CN" w:bidi="ar"/>
              </w:rPr>
              <w:t>新</w:t>
            </w:r>
            <w:r>
              <w:rPr>
                <w:rFonts w:hint="eastAsia" w:asciiTheme="minorEastAsia" w:hAnsiTheme="minorEastAsia" w:eastAsiaTheme="minorEastAsia" w:cstheme="minorEastAsia"/>
                <w:i w:val="0"/>
                <w:color w:val="000000"/>
                <w:kern w:val="0"/>
                <w:sz w:val="22"/>
                <w:szCs w:val="22"/>
                <w:u w:val="none"/>
                <w:lang w:val="en-US" w:eastAsia="zh-CN" w:bidi="ar"/>
              </w:rPr>
              <w:t>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路桥区</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金清镇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台州湾</w:t>
            </w:r>
            <w:r>
              <w:rPr>
                <w:rFonts w:hint="eastAsia" w:asciiTheme="minorEastAsia" w:hAnsiTheme="minorEastAsia" w:cstheme="minorEastAsia"/>
                <w:i w:val="0"/>
                <w:color w:val="000000"/>
                <w:kern w:val="0"/>
                <w:sz w:val="22"/>
                <w:szCs w:val="22"/>
                <w:u w:val="none"/>
                <w:lang w:val="en-US" w:eastAsia="zh-CN" w:bidi="ar"/>
              </w:rPr>
              <w:t>新区东部</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温岭市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坞根镇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温峤镇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cstheme="minorEastAsia"/>
                <w:i w:val="0"/>
                <w:color w:val="000000"/>
                <w:kern w:val="0"/>
                <w:sz w:val="22"/>
                <w:szCs w:val="22"/>
                <w:u w:val="none"/>
                <w:lang w:val="en-US" w:eastAsia="zh-CN" w:bidi="ar"/>
              </w:rPr>
              <w:t>浙江温岭经济开发区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松门镇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石桥头镇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箬横镇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城南镇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滨海镇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石塘镇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玉环市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芦浦镇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清港镇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沙门镇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玉城街道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坎门街道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海山乡</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干江镇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大麦屿街道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楚门镇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龙溪镇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温州市</w:t>
            </w: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乐清市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雁荡镇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盐盆街道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湖雾镇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柳市镇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南塘镇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芙蓉镇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翁垟街道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天成街道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大荆镇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清江镇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城南街道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蒲岐镇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城东街道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磐石镇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北白象镇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南岳镇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洞头区</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北岙街道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灵昆街道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昆鹏街道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东屏街道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元觉街道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霓屿街道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大门镇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龙湾区</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蒲州街道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状元街道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瑶溪街道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海滨街道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海城街道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cstheme="minorEastAsia"/>
                <w:i w:val="0"/>
                <w:color w:val="000000"/>
                <w:kern w:val="0"/>
                <w:sz w:val="22"/>
                <w:szCs w:val="22"/>
                <w:u w:val="none"/>
                <w:lang w:val="en-US" w:eastAsia="zh-CN" w:bidi="ar"/>
              </w:rPr>
              <w:t>温州高新技术产业开发区（温州经济技术开发区</w:t>
            </w:r>
            <w:bookmarkStart w:id="1" w:name="_GoBack"/>
            <w:bookmarkEnd w:id="1"/>
            <w:r>
              <w:rPr>
                <w:rFonts w:hint="eastAsia" w:asciiTheme="minorEastAsia" w:hAnsiTheme="minorEastAsia" w:cstheme="minorEastAsia"/>
                <w:i w:val="0"/>
                <w:color w:val="000000"/>
                <w:kern w:val="0"/>
                <w:sz w:val="22"/>
                <w:szCs w:val="22"/>
                <w:u w:val="none"/>
                <w:lang w:val="en-US" w:eastAsia="zh-CN" w:bidi="ar"/>
              </w:rPr>
              <w:t>）</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瑞安市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安阳街道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玉海街道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锦湖街道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潘岱街道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塘下镇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汀田街道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莘塍街道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上望街道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东山街道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桐浦镇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陶山镇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南滨街道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飞云街道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仙降街道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云周街道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马屿镇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曹村镇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平阳县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鳌江镇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水头镇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萧江镇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万全镇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麻步镇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海西镇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龙港市</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沿江片区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湖前片区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龙江片区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江山片区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白沙片区 </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巴曹片区</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龙港新城</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苍南县</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137</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金乡镇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炎亭镇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139</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赤溪镇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140</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霞关镇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舟山市</w:t>
            </w:r>
          </w:p>
        </w:tc>
        <w:tc>
          <w:tcPr>
            <w:tcW w:w="130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普陀区</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141</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沈家门街道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142</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东港街道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143</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展茅街道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144</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朱家尖街道</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145</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桃花镇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六横镇</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总计</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19</w:t>
            </w:r>
          </w:p>
        </w:tc>
        <w:tc>
          <w:tcPr>
            <w:tcW w:w="130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146</w:t>
            </w:r>
          </w:p>
        </w:tc>
        <w:tc>
          <w:tcPr>
            <w:tcW w:w="288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146</w:t>
            </w:r>
          </w:p>
        </w:tc>
        <w:tc>
          <w:tcPr>
            <w:tcW w:w="15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1718.72</w:t>
            </w:r>
          </w:p>
        </w:tc>
      </w:tr>
    </w:tbl>
    <w:p>
      <w:pPr>
        <w:spacing w:line="580" w:lineRule="exact"/>
        <w:ind w:firstLine="640" w:firstLineChars="200"/>
        <w:rPr>
          <w:rFonts w:hint="eastAsia" w:ascii="仿宋_GB2312" w:hAnsi="仿宋_GB2312" w:eastAsia="仿宋_GB2312" w:cs="仿宋_GB2312"/>
          <w:color w:val="000000"/>
          <w:sz w:val="32"/>
          <w:szCs w:val="32"/>
          <w:lang w:eastAsia="zh-CN"/>
        </w:rPr>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18"/>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83"/>
    <w:rsid w:val="000F4E84"/>
    <w:rsid w:val="0019583A"/>
    <w:rsid w:val="00344DEF"/>
    <w:rsid w:val="0038685C"/>
    <w:rsid w:val="003C53D4"/>
    <w:rsid w:val="00445249"/>
    <w:rsid w:val="004A03D2"/>
    <w:rsid w:val="00504B76"/>
    <w:rsid w:val="005459A4"/>
    <w:rsid w:val="00562723"/>
    <w:rsid w:val="005759F0"/>
    <w:rsid w:val="005C6857"/>
    <w:rsid w:val="005D07DB"/>
    <w:rsid w:val="006368B2"/>
    <w:rsid w:val="007D57D7"/>
    <w:rsid w:val="00812F73"/>
    <w:rsid w:val="008179B4"/>
    <w:rsid w:val="00863EDC"/>
    <w:rsid w:val="00881A14"/>
    <w:rsid w:val="008979B6"/>
    <w:rsid w:val="008A4AB8"/>
    <w:rsid w:val="009009C2"/>
    <w:rsid w:val="0099416A"/>
    <w:rsid w:val="009974DA"/>
    <w:rsid w:val="009E7ABF"/>
    <w:rsid w:val="00A40F5A"/>
    <w:rsid w:val="00A70D9C"/>
    <w:rsid w:val="00AA7E06"/>
    <w:rsid w:val="00B119A1"/>
    <w:rsid w:val="00B45866"/>
    <w:rsid w:val="00BA4C2B"/>
    <w:rsid w:val="00C10668"/>
    <w:rsid w:val="00C96D26"/>
    <w:rsid w:val="00CF26BB"/>
    <w:rsid w:val="00D34AF2"/>
    <w:rsid w:val="00DB0402"/>
    <w:rsid w:val="00E808B2"/>
    <w:rsid w:val="00E84968"/>
    <w:rsid w:val="00F30038"/>
    <w:rsid w:val="00FD04C7"/>
    <w:rsid w:val="00FF3383"/>
    <w:rsid w:val="13FF7C29"/>
    <w:rsid w:val="15A416E4"/>
    <w:rsid w:val="32224940"/>
    <w:rsid w:val="32B12D8A"/>
    <w:rsid w:val="51F85009"/>
    <w:rsid w:val="5B473C38"/>
    <w:rsid w:val="6609042F"/>
    <w:rsid w:val="66AE546D"/>
    <w:rsid w:val="70B87EEC"/>
    <w:rsid w:val="729A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3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next w:val="1"/>
    <w:link w:val="60"/>
    <w:unhideWhenUsed/>
    <w:qFormat/>
    <w:uiPriority w:val="9"/>
    <w:pPr>
      <w:keepNext/>
      <w:keepLines/>
      <w:spacing w:beforeLines="50" w:afterLines="50" w:line="360" w:lineRule="auto"/>
      <w:ind w:left="864" w:hanging="864"/>
      <w:outlineLvl w:val="3"/>
    </w:pPr>
    <w:rPr>
      <w:rFonts w:ascii="Times New Roman" w:hAnsi="Times New Roman" w:eastAsia="仿宋" w:cs="Times New Roman"/>
      <w:bCs/>
      <w:kern w:val="0"/>
      <w:sz w:val="30"/>
      <w:szCs w:val="28"/>
      <w:lang w:val="en-US" w:eastAsia="zh-CN" w:bidi="ar-SA"/>
    </w:rPr>
  </w:style>
  <w:style w:type="paragraph" w:styleId="7">
    <w:name w:val="heading 5"/>
    <w:basedOn w:val="1"/>
    <w:next w:val="1"/>
    <w:link w:val="61"/>
    <w:unhideWhenUsed/>
    <w:qFormat/>
    <w:uiPriority w:val="9"/>
    <w:pPr>
      <w:keepNext/>
      <w:keepLines/>
      <w:widowControl/>
      <w:spacing w:beforeLines="50" w:afterLines="50" w:line="376" w:lineRule="auto"/>
      <w:ind w:left="1008" w:hanging="1008"/>
      <w:jc w:val="left"/>
      <w:outlineLvl w:val="4"/>
    </w:pPr>
    <w:rPr>
      <w:rFonts w:ascii="Times New Roman" w:hAnsi="Times New Roman" w:eastAsia="仿宋" w:cs="Times New Roman"/>
      <w:b/>
      <w:bCs/>
      <w:kern w:val="0"/>
      <w:sz w:val="28"/>
      <w:szCs w:val="28"/>
    </w:rPr>
  </w:style>
  <w:style w:type="paragraph" w:styleId="8">
    <w:name w:val="heading 6"/>
    <w:basedOn w:val="1"/>
    <w:next w:val="1"/>
    <w:link w:val="62"/>
    <w:unhideWhenUsed/>
    <w:qFormat/>
    <w:uiPriority w:val="9"/>
    <w:pPr>
      <w:keepNext/>
      <w:keepLines/>
      <w:widowControl/>
      <w:spacing w:beforeLines="50" w:afterLines="50" w:line="320" w:lineRule="auto"/>
      <w:ind w:left="1152" w:hanging="1152"/>
      <w:jc w:val="left"/>
      <w:outlineLvl w:val="5"/>
    </w:pPr>
    <w:rPr>
      <w:rFonts w:ascii="Cambria" w:hAnsi="Cambria" w:eastAsia="宋体" w:cs="Times New Roman"/>
      <w:b/>
      <w:bCs/>
      <w:kern w:val="0"/>
      <w:sz w:val="24"/>
      <w:szCs w:val="24"/>
    </w:rPr>
  </w:style>
  <w:style w:type="paragraph" w:styleId="9">
    <w:name w:val="heading 7"/>
    <w:basedOn w:val="1"/>
    <w:next w:val="1"/>
    <w:link w:val="63"/>
    <w:unhideWhenUsed/>
    <w:qFormat/>
    <w:uiPriority w:val="9"/>
    <w:pPr>
      <w:keepNext/>
      <w:keepLines/>
      <w:widowControl/>
      <w:spacing w:beforeLines="50" w:afterLines="50" w:line="320" w:lineRule="auto"/>
      <w:ind w:left="1296" w:hanging="1296"/>
      <w:jc w:val="left"/>
      <w:outlineLvl w:val="6"/>
    </w:pPr>
    <w:rPr>
      <w:rFonts w:ascii="Times New Roman" w:hAnsi="Times New Roman" w:eastAsia="仿宋" w:cs="Times New Roman"/>
      <w:b/>
      <w:bCs/>
      <w:kern w:val="0"/>
      <w:sz w:val="24"/>
      <w:szCs w:val="24"/>
    </w:rPr>
  </w:style>
  <w:style w:type="paragraph" w:styleId="10">
    <w:name w:val="heading 8"/>
    <w:basedOn w:val="1"/>
    <w:next w:val="1"/>
    <w:link w:val="64"/>
    <w:unhideWhenUsed/>
    <w:qFormat/>
    <w:uiPriority w:val="9"/>
    <w:pPr>
      <w:keepNext/>
      <w:keepLines/>
      <w:widowControl/>
      <w:spacing w:beforeLines="50" w:afterLines="50" w:line="320" w:lineRule="auto"/>
      <w:ind w:left="1440" w:hanging="1440"/>
      <w:jc w:val="left"/>
      <w:outlineLvl w:val="7"/>
    </w:pPr>
    <w:rPr>
      <w:rFonts w:ascii="Cambria" w:hAnsi="Cambria" w:eastAsia="宋体" w:cs="Times New Roman"/>
      <w:kern w:val="0"/>
      <w:sz w:val="24"/>
      <w:szCs w:val="24"/>
    </w:rPr>
  </w:style>
  <w:style w:type="paragraph" w:styleId="11">
    <w:name w:val="heading 9"/>
    <w:basedOn w:val="1"/>
    <w:next w:val="1"/>
    <w:link w:val="65"/>
    <w:unhideWhenUsed/>
    <w:qFormat/>
    <w:uiPriority w:val="9"/>
    <w:pPr>
      <w:keepNext/>
      <w:keepLines/>
      <w:widowControl/>
      <w:spacing w:beforeLines="50" w:afterLines="50" w:line="320" w:lineRule="auto"/>
      <w:ind w:left="1584" w:hanging="1584"/>
      <w:jc w:val="left"/>
      <w:outlineLvl w:val="8"/>
    </w:pPr>
    <w:rPr>
      <w:rFonts w:ascii="Cambria" w:hAnsi="Cambria" w:eastAsia="宋体" w:cs="Times New Roman"/>
      <w:kern w:val="0"/>
      <w:sz w:val="2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567"/>
      <w:textAlignment w:val="baseline"/>
    </w:pPr>
    <w:rPr>
      <w:kern w:val="0"/>
      <w:sz w:val="28"/>
      <w:szCs w:val="20"/>
    </w:rPr>
  </w:style>
  <w:style w:type="paragraph" w:styleId="12">
    <w:name w:val="Body Text"/>
    <w:basedOn w:val="1"/>
    <w:next w:val="13"/>
    <w:link w:val="41"/>
    <w:qFormat/>
    <w:uiPriority w:val="99"/>
    <w:pPr>
      <w:spacing w:after="120"/>
    </w:pPr>
    <w:rPr>
      <w:rFonts w:ascii="Times New Roman" w:hAnsi="Times New Roman" w:eastAsia="宋体" w:cs="Times New Roman"/>
      <w:szCs w:val="24"/>
    </w:rPr>
  </w:style>
  <w:style w:type="paragraph" w:styleId="13">
    <w:name w:val="Body Text First Indent"/>
    <w:basedOn w:val="12"/>
    <w:link w:val="44"/>
    <w:qFormat/>
    <w:uiPriority w:val="0"/>
    <w:pPr>
      <w:autoSpaceDE w:val="0"/>
      <w:autoSpaceDN w:val="0"/>
      <w:spacing w:after="0" w:line="500" w:lineRule="exact"/>
      <w:ind w:left="106" w:firstLine="420"/>
      <w:jc w:val="left"/>
    </w:pPr>
    <w:rPr>
      <w:rFonts w:ascii="仿宋_GB2312" w:hAnsi="仿宋_GB2312" w:eastAsia="仿宋_GB2312" w:cs="仿宋_GB2312"/>
      <w:kern w:val="0"/>
      <w:sz w:val="32"/>
      <w:szCs w:val="28"/>
      <w:lang w:val="zh-CN" w:bidi="zh-CN"/>
    </w:rPr>
  </w:style>
  <w:style w:type="paragraph" w:styleId="14">
    <w:name w:val="Body Text Indent"/>
    <w:basedOn w:val="1"/>
    <w:link w:val="40"/>
    <w:qFormat/>
    <w:uiPriority w:val="0"/>
    <w:pPr>
      <w:spacing w:after="120"/>
      <w:ind w:left="420" w:leftChars="200"/>
    </w:pPr>
    <w:rPr>
      <w:rFonts w:ascii="Times New Roman" w:hAnsi="Times New Roman" w:eastAsia="宋体" w:cs="Times New Roman"/>
      <w:szCs w:val="24"/>
    </w:rPr>
  </w:style>
  <w:style w:type="paragraph" w:styleId="15">
    <w:name w:val="Plain Text"/>
    <w:basedOn w:val="1"/>
    <w:link w:val="39"/>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6">
    <w:name w:val="Date"/>
    <w:basedOn w:val="1"/>
    <w:next w:val="1"/>
    <w:link w:val="43"/>
    <w:qFormat/>
    <w:uiPriority w:val="0"/>
    <w:pPr>
      <w:ind w:left="100" w:leftChars="2500"/>
    </w:pPr>
    <w:rPr>
      <w:rFonts w:ascii="Times New Roman" w:hAnsi="Times New Roman" w:eastAsia="宋体" w:cs="Times New Roman"/>
      <w:szCs w:val="24"/>
    </w:rPr>
  </w:style>
  <w:style w:type="paragraph" w:styleId="17">
    <w:name w:val="Balloon Text"/>
    <w:basedOn w:val="1"/>
    <w:link w:val="31"/>
    <w:semiHidden/>
    <w:unhideWhenUsed/>
    <w:qFormat/>
    <w:uiPriority w:val="0"/>
    <w:rPr>
      <w:sz w:val="18"/>
      <w:szCs w:val="18"/>
    </w:rPr>
  </w:style>
  <w:style w:type="paragraph" w:styleId="18">
    <w:name w:val="footer"/>
    <w:basedOn w:val="1"/>
    <w:link w:val="3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9">
    <w:name w:val="header"/>
    <w:basedOn w:val="1"/>
    <w:link w:val="4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0">
    <w:name w:val="toc 1"/>
    <w:basedOn w:val="1"/>
    <w:next w:val="1"/>
    <w:unhideWhenUsed/>
    <w:qFormat/>
    <w:uiPriority w:val="39"/>
    <w:rPr>
      <w:rFonts w:ascii="Calibri" w:hAnsi="Calibri" w:eastAsia="宋体" w:cs="Times New Roman"/>
    </w:rPr>
  </w:style>
  <w:style w:type="paragraph" w:styleId="21">
    <w:name w:val="toc 2"/>
    <w:basedOn w:val="1"/>
    <w:next w:val="1"/>
    <w:unhideWhenUsed/>
    <w:qFormat/>
    <w:uiPriority w:val="39"/>
    <w:pPr>
      <w:ind w:left="420" w:leftChars="200"/>
    </w:pPr>
    <w:rPr>
      <w:rFonts w:ascii="Calibri" w:hAnsi="Calibri" w:eastAsia="宋体" w:cs="Times New Roman"/>
    </w:rPr>
  </w:style>
  <w:style w:type="paragraph" w:styleId="22">
    <w:name w:val="Body Text 2"/>
    <w:basedOn w:val="1"/>
    <w:link w:val="42"/>
    <w:qFormat/>
    <w:uiPriority w:val="0"/>
    <w:pPr>
      <w:spacing w:after="120" w:line="480" w:lineRule="auto"/>
    </w:pPr>
    <w:rPr>
      <w:rFonts w:ascii="Times New Roman" w:hAnsi="Times New Roman" w:eastAsia="宋体" w:cs="Times New Roman"/>
      <w:szCs w:val="24"/>
    </w:rPr>
  </w:style>
  <w:style w:type="paragraph" w:styleId="23">
    <w:name w:val="HTML Preformatted"/>
    <w:basedOn w:val="1"/>
    <w:link w:val="3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4">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table" w:styleId="26">
    <w:name w:val="Table Grid"/>
    <w:basedOn w:val="2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qFormat/>
    <w:uiPriority w:val="0"/>
    <w:rPr>
      <w:b/>
    </w:rPr>
  </w:style>
  <w:style w:type="character" w:styleId="29">
    <w:name w:val="page number"/>
    <w:basedOn w:val="27"/>
    <w:qFormat/>
    <w:uiPriority w:val="0"/>
  </w:style>
  <w:style w:type="character" w:styleId="30">
    <w:name w:val="Hyperlink"/>
    <w:basedOn w:val="27"/>
    <w:unhideWhenUsed/>
    <w:qFormat/>
    <w:uiPriority w:val="99"/>
    <w:rPr>
      <w:color w:val="0563C1"/>
      <w:u w:val="single"/>
    </w:rPr>
  </w:style>
  <w:style w:type="character" w:customStyle="1" w:styleId="31">
    <w:name w:val="批注框文本 Char"/>
    <w:basedOn w:val="27"/>
    <w:link w:val="17"/>
    <w:semiHidden/>
    <w:qFormat/>
    <w:uiPriority w:val="99"/>
    <w:rPr>
      <w:sz w:val="18"/>
      <w:szCs w:val="18"/>
    </w:rPr>
  </w:style>
  <w:style w:type="character" w:customStyle="1" w:styleId="32">
    <w:name w:val="标题 1 Char"/>
    <w:basedOn w:val="27"/>
    <w:link w:val="3"/>
    <w:qFormat/>
    <w:uiPriority w:val="0"/>
    <w:rPr>
      <w:rFonts w:ascii="Calibri" w:hAnsi="Calibri" w:eastAsia="宋体" w:cs="Times New Roman"/>
      <w:b/>
      <w:bCs/>
      <w:kern w:val="44"/>
      <w:sz w:val="44"/>
      <w:szCs w:val="44"/>
    </w:rPr>
  </w:style>
  <w:style w:type="character" w:customStyle="1" w:styleId="33">
    <w:name w:val="标题 2 Char"/>
    <w:basedOn w:val="27"/>
    <w:link w:val="4"/>
    <w:qFormat/>
    <w:uiPriority w:val="9"/>
    <w:rPr>
      <w:rFonts w:ascii="Cambria" w:hAnsi="Cambria" w:eastAsia="宋体" w:cs="Times New Roman"/>
      <w:b/>
      <w:bCs/>
      <w:sz w:val="32"/>
      <w:szCs w:val="32"/>
    </w:rPr>
  </w:style>
  <w:style w:type="character" w:customStyle="1" w:styleId="34">
    <w:name w:val="页脚 Char"/>
    <w:basedOn w:val="27"/>
    <w:link w:val="18"/>
    <w:qFormat/>
    <w:uiPriority w:val="99"/>
    <w:rPr>
      <w:rFonts w:ascii="Calibri" w:hAnsi="Calibri" w:eastAsia="宋体" w:cs="Times New Roman"/>
      <w:sz w:val="18"/>
      <w:szCs w:val="18"/>
    </w:rPr>
  </w:style>
  <w:style w:type="paragraph" w:customStyle="1" w:styleId="35">
    <w:name w:val="TOC Heading"/>
    <w:basedOn w:val="3"/>
    <w:next w:val="1"/>
    <w:semiHidden/>
    <w:unhideWhenUsed/>
    <w:qFormat/>
    <w:uiPriority w:val="39"/>
    <w:pPr>
      <w:widowControl/>
      <w:spacing w:before="480" w:after="0" w:line="276" w:lineRule="auto"/>
      <w:jc w:val="left"/>
      <w:outlineLvl w:val="9"/>
    </w:pPr>
    <w:rPr>
      <w:rFonts w:ascii="Calibri Light" w:hAnsi="Calibri Light"/>
      <w:color w:val="2E74B5"/>
      <w:kern w:val="0"/>
      <w:sz w:val="28"/>
      <w:szCs w:val="28"/>
    </w:rPr>
  </w:style>
  <w:style w:type="character" w:customStyle="1" w:styleId="36">
    <w:name w:val="HTML 预设格式 Char"/>
    <w:basedOn w:val="27"/>
    <w:link w:val="23"/>
    <w:qFormat/>
    <w:uiPriority w:val="0"/>
    <w:rPr>
      <w:rFonts w:ascii="Arial" w:hAnsi="Arial" w:eastAsia="宋体" w:cs="Arial"/>
      <w:kern w:val="0"/>
      <w:sz w:val="24"/>
      <w:szCs w:val="24"/>
    </w:rPr>
  </w:style>
  <w:style w:type="character" w:customStyle="1" w:styleId="37">
    <w:name w:val="标题 3 Char"/>
    <w:basedOn w:val="27"/>
    <w:link w:val="5"/>
    <w:qFormat/>
    <w:uiPriority w:val="0"/>
    <w:rPr>
      <w:rFonts w:ascii="Times New Roman" w:hAnsi="Times New Roman" w:eastAsia="宋体" w:cs="Times New Roman"/>
      <w:b/>
      <w:bCs/>
      <w:sz w:val="32"/>
      <w:szCs w:val="32"/>
    </w:rPr>
  </w:style>
  <w:style w:type="character" w:customStyle="1" w:styleId="38">
    <w:name w:val="fontstyle11"/>
    <w:qFormat/>
    <w:uiPriority w:val="0"/>
    <w:rPr>
      <w:rFonts w:hint="eastAsia" w:ascii="仿宋" w:hAnsi="仿宋" w:eastAsia="仿宋"/>
      <w:color w:val="000000"/>
      <w:sz w:val="32"/>
      <w:szCs w:val="32"/>
    </w:rPr>
  </w:style>
  <w:style w:type="character" w:customStyle="1" w:styleId="39">
    <w:name w:val="纯文本 Char"/>
    <w:basedOn w:val="27"/>
    <w:link w:val="15"/>
    <w:qFormat/>
    <w:uiPriority w:val="0"/>
    <w:rPr>
      <w:rFonts w:ascii="宋体" w:hAnsi="宋体" w:eastAsia="宋体" w:cs="Times New Roman"/>
      <w:kern w:val="0"/>
      <w:sz w:val="24"/>
      <w:szCs w:val="24"/>
    </w:rPr>
  </w:style>
  <w:style w:type="character" w:customStyle="1" w:styleId="40">
    <w:name w:val="正文文本缩进 Char"/>
    <w:basedOn w:val="27"/>
    <w:link w:val="14"/>
    <w:qFormat/>
    <w:uiPriority w:val="0"/>
    <w:rPr>
      <w:rFonts w:ascii="Times New Roman" w:hAnsi="Times New Roman" w:eastAsia="宋体" w:cs="Times New Roman"/>
      <w:szCs w:val="24"/>
    </w:rPr>
  </w:style>
  <w:style w:type="character" w:customStyle="1" w:styleId="41">
    <w:name w:val="正文文本 Char"/>
    <w:basedOn w:val="27"/>
    <w:link w:val="12"/>
    <w:qFormat/>
    <w:uiPriority w:val="99"/>
    <w:rPr>
      <w:rFonts w:ascii="Times New Roman" w:hAnsi="Times New Roman" w:eastAsia="宋体" w:cs="Times New Roman"/>
      <w:szCs w:val="24"/>
    </w:rPr>
  </w:style>
  <w:style w:type="character" w:customStyle="1" w:styleId="42">
    <w:name w:val="正文文本 2 Char"/>
    <w:basedOn w:val="27"/>
    <w:link w:val="22"/>
    <w:qFormat/>
    <w:uiPriority w:val="0"/>
    <w:rPr>
      <w:rFonts w:ascii="Times New Roman" w:hAnsi="Times New Roman" w:eastAsia="宋体" w:cs="Times New Roman"/>
      <w:szCs w:val="24"/>
    </w:rPr>
  </w:style>
  <w:style w:type="character" w:customStyle="1" w:styleId="43">
    <w:name w:val="日期 Char"/>
    <w:basedOn w:val="27"/>
    <w:link w:val="16"/>
    <w:qFormat/>
    <w:uiPriority w:val="0"/>
    <w:rPr>
      <w:rFonts w:ascii="Times New Roman" w:hAnsi="Times New Roman" w:eastAsia="宋体" w:cs="Times New Roman"/>
      <w:szCs w:val="24"/>
    </w:rPr>
  </w:style>
  <w:style w:type="character" w:customStyle="1" w:styleId="44">
    <w:name w:val="正文首行缩进 Char"/>
    <w:basedOn w:val="41"/>
    <w:link w:val="13"/>
    <w:qFormat/>
    <w:uiPriority w:val="0"/>
    <w:rPr>
      <w:rFonts w:ascii="仿宋_GB2312" w:hAnsi="仿宋_GB2312" w:eastAsia="仿宋_GB2312" w:cs="仿宋_GB2312"/>
      <w:kern w:val="0"/>
      <w:sz w:val="32"/>
      <w:szCs w:val="28"/>
      <w:lang w:val="zh-CN" w:bidi="zh-CN"/>
    </w:rPr>
  </w:style>
  <w:style w:type="character" w:customStyle="1" w:styleId="45">
    <w:name w:val="页眉 Char"/>
    <w:basedOn w:val="27"/>
    <w:link w:val="19"/>
    <w:qFormat/>
    <w:uiPriority w:val="0"/>
    <w:rPr>
      <w:rFonts w:ascii="Times New Roman" w:hAnsi="Times New Roman" w:eastAsia="宋体" w:cs="Times New Roman"/>
      <w:sz w:val="18"/>
      <w:szCs w:val="18"/>
    </w:rPr>
  </w:style>
  <w:style w:type="paragraph" w:customStyle="1" w:styleId="46">
    <w:name w:val="列出段落1"/>
    <w:basedOn w:val="1"/>
    <w:qFormat/>
    <w:uiPriority w:val="34"/>
    <w:pPr>
      <w:ind w:firstLine="420" w:firstLineChars="200"/>
    </w:pPr>
    <w:rPr>
      <w:rFonts w:ascii="Calibri" w:hAnsi="Calibri" w:eastAsia="宋体" w:cs="Times New Roman"/>
    </w:rPr>
  </w:style>
  <w:style w:type="paragraph" w:customStyle="1" w:styleId="47">
    <w:name w:val="Char"/>
    <w:basedOn w:val="1"/>
    <w:qFormat/>
    <w:uiPriority w:val="0"/>
    <w:rPr>
      <w:rFonts w:ascii="Times New Roman" w:hAnsi="Times New Roman" w:eastAsia="仿宋_GB2312" w:cs="Times New Roman"/>
      <w:sz w:val="32"/>
      <w:szCs w:val="20"/>
    </w:rPr>
  </w:style>
  <w:style w:type="paragraph" w:customStyle="1" w:styleId="48">
    <w:name w:val="Char Char Char Char Char Char Char"/>
    <w:basedOn w:val="1"/>
    <w:qFormat/>
    <w:uiPriority w:val="0"/>
    <w:rPr>
      <w:rFonts w:ascii="Times New Roman" w:hAnsi="Times New Roman" w:eastAsia="宋体" w:cs="Times New Roman"/>
      <w:szCs w:val="21"/>
    </w:rPr>
  </w:style>
  <w:style w:type="paragraph" w:customStyle="1" w:styleId="49">
    <w:name w:val="Char Char Char Char Char Char Char Char Char Char Char Char Char Char Char Char"/>
    <w:basedOn w:val="1"/>
    <w:qFormat/>
    <w:uiPriority w:val="0"/>
    <w:pPr>
      <w:tabs>
        <w:tab w:val="left" w:pos="778"/>
      </w:tabs>
      <w:ind w:left="778" w:hanging="425"/>
    </w:pPr>
    <w:rPr>
      <w:rFonts w:ascii="仿宋_GB2312" w:hAnsi="Times New Roman" w:eastAsia="仿宋_GB2312" w:cs="Times New Roman"/>
      <w:sz w:val="24"/>
      <w:szCs w:val="32"/>
    </w:rPr>
  </w:style>
  <w:style w:type="paragraph" w:customStyle="1" w:styleId="50">
    <w:name w:val="缺省文本"/>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51">
    <w:name w:val="Char Char Char Char Char Char Char Char Char Char Char Char Char Char Char Char1"/>
    <w:basedOn w:val="1"/>
    <w:qFormat/>
    <w:uiPriority w:val="0"/>
    <w:pPr>
      <w:tabs>
        <w:tab w:val="left" w:pos="778"/>
      </w:tabs>
      <w:ind w:left="778" w:hanging="425"/>
    </w:pPr>
    <w:rPr>
      <w:rFonts w:ascii="仿宋_GB2312" w:hAnsi="Times New Roman" w:eastAsia="仿宋_GB2312" w:cs="Times New Roman"/>
      <w:sz w:val="24"/>
      <w:szCs w:val="32"/>
    </w:rPr>
  </w:style>
  <w:style w:type="paragraph" w:customStyle="1" w:styleId="52">
    <w:name w:val="Char Char Char Char Char Char Char Char Char Char Char Char Char"/>
    <w:basedOn w:val="1"/>
    <w:qFormat/>
    <w:uiPriority w:val="0"/>
    <w:pPr>
      <w:tabs>
        <w:tab w:val="left" w:pos="720"/>
      </w:tabs>
      <w:ind w:left="720" w:hanging="720"/>
    </w:pPr>
    <w:rPr>
      <w:rFonts w:ascii="Times New Roman" w:hAnsi="Times New Roman" w:eastAsia="宋体" w:cs="Times New Roman"/>
      <w:sz w:val="24"/>
      <w:szCs w:val="24"/>
    </w:rPr>
  </w:style>
  <w:style w:type="paragraph" w:customStyle="1" w:styleId="53">
    <w:name w:val="Char Char Char Char Char Char Char Char Char Char Char Char Char Char Char Char Char Char Char Char Char Char"/>
    <w:basedOn w:val="1"/>
    <w:qFormat/>
    <w:uiPriority w:val="0"/>
    <w:pPr>
      <w:tabs>
        <w:tab w:val="left" w:pos="720"/>
      </w:tabs>
      <w:ind w:left="720" w:hanging="720"/>
    </w:pPr>
    <w:rPr>
      <w:rFonts w:ascii="Times New Roman" w:hAnsi="Times New Roman" w:eastAsia="宋体" w:cs="Times New Roman"/>
      <w:sz w:val="24"/>
      <w:szCs w:val="24"/>
    </w:rPr>
  </w:style>
  <w:style w:type="paragraph" w:customStyle="1" w:styleId="54">
    <w:name w:val="Char1"/>
    <w:basedOn w:val="1"/>
    <w:qFormat/>
    <w:uiPriority w:val="0"/>
    <w:pPr>
      <w:ind w:left="960" w:leftChars="400" w:firstLine="420" w:firstLineChars="200"/>
    </w:pPr>
    <w:rPr>
      <w:rFonts w:ascii="宋体" w:hAnsi="宋体" w:eastAsia="宋体" w:cs="Times New Roman"/>
      <w:szCs w:val="21"/>
    </w:rPr>
  </w:style>
  <w:style w:type="paragraph" w:customStyle="1" w:styleId="5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正文 New"/>
    <w:qFormat/>
    <w:uiPriority w:val="0"/>
    <w:pPr>
      <w:widowControl w:val="0"/>
      <w:jc w:val="both"/>
    </w:pPr>
    <w:rPr>
      <w:rFonts w:ascii="Calibri" w:hAnsi="Calibri" w:eastAsia="宋体" w:cs="Times New Roman"/>
      <w:kern w:val="2"/>
      <w:sz w:val="21"/>
      <w:szCs w:val="20"/>
      <w:lang w:val="en-US" w:eastAsia="zh-CN" w:bidi="ar-SA"/>
    </w:rPr>
  </w:style>
  <w:style w:type="paragraph" w:customStyle="1" w:styleId="57">
    <w:name w:val="Char4"/>
    <w:basedOn w:val="1"/>
    <w:qFormat/>
    <w:uiPriority w:val="0"/>
    <w:rPr>
      <w:rFonts w:ascii="Tahoma" w:hAnsi="Tahoma" w:eastAsia="宋体" w:cs="Times New Roman"/>
      <w:sz w:val="24"/>
      <w:szCs w:val="20"/>
    </w:rPr>
  </w:style>
  <w:style w:type="paragraph" w:customStyle="1" w:styleId="58">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59">
    <w:name w:val="List Paragraph"/>
    <w:basedOn w:val="1"/>
    <w:link w:val="70"/>
    <w:qFormat/>
    <w:uiPriority w:val="34"/>
    <w:pPr>
      <w:ind w:firstLine="420" w:firstLineChars="200"/>
    </w:pPr>
  </w:style>
  <w:style w:type="character" w:customStyle="1" w:styleId="60">
    <w:name w:val="标题 4 Char"/>
    <w:basedOn w:val="27"/>
    <w:link w:val="6"/>
    <w:qFormat/>
    <w:uiPriority w:val="9"/>
    <w:rPr>
      <w:rFonts w:ascii="Times New Roman" w:hAnsi="Times New Roman" w:eastAsia="仿宋" w:cs="Times New Roman"/>
      <w:bCs/>
      <w:kern w:val="0"/>
      <w:sz w:val="30"/>
      <w:szCs w:val="28"/>
    </w:rPr>
  </w:style>
  <w:style w:type="character" w:customStyle="1" w:styleId="61">
    <w:name w:val="标题 5 Char"/>
    <w:basedOn w:val="27"/>
    <w:link w:val="7"/>
    <w:qFormat/>
    <w:uiPriority w:val="9"/>
    <w:rPr>
      <w:rFonts w:ascii="Times New Roman" w:hAnsi="Times New Roman" w:eastAsia="仿宋" w:cs="Times New Roman"/>
      <w:b/>
      <w:bCs/>
      <w:kern w:val="0"/>
      <w:sz w:val="28"/>
      <w:szCs w:val="28"/>
    </w:rPr>
  </w:style>
  <w:style w:type="character" w:customStyle="1" w:styleId="62">
    <w:name w:val="标题 6 Char"/>
    <w:basedOn w:val="27"/>
    <w:link w:val="8"/>
    <w:qFormat/>
    <w:uiPriority w:val="9"/>
    <w:rPr>
      <w:rFonts w:ascii="Cambria" w:hAnsi="Cambria" w:eastAsia="宋体" w:cs="Times New Roman"/>
      <w:b/>
      <w:bCs/>
      <w:kern w:val="0"/>
      <w:sz w:val="24"/>
      <w:szCs w:val="24"/>
    </w:rPr>
  </w:style>
  <w:style w:type="character" w:customStyle="1" w:styleId="63">
    <w:name w:val="标题 7 Char"/>
    <w:basedOn w:val="27"/>
    <w:link w:val="9"/>
    <w:qFormat/>
    <w:uiPriority w:val="9"/>
    <w:rPr>
      <w:rFonts w:ascii="Times New Roman" w:hAnsi="Times New Roman" w:eastAsia="仿宋" w:cs="Times New Roman"/>
      <w:b/>
      <w:bCs/>
      <w:kern w:val="0"/>
      <w:sz w:val="24"/>
      <w:szCs w:val="24"/>
    </w:rPr>
  </w:style>
  <w:style w:type="character" w:customStyle="1" w:styleId="64">
    <w:name w:val="标题 8 Char"/>
    <w:basedOn w:val="27"/>
    <w:link w:val="10"/>
    <w:qFormat/>
    <w:uiPriority w:val="9"/>
    <w:rPr>
      <w:rFonts w:ascii="Cambria" w:hAnsi="Cambria" w:eastAsia="宋体" w:cs="Times New Roman"/>
      <w:kern w:val="0"/>
      <w:sz w:val="24"/>
      <w:szCs w:val="24"/>
    </w:rPr>
  </w:style>
  <w:style w:type="character" w:customStyle="1" w:styleId="65">
    <w:name w:val="标题 9 Char"/>
    <w:basedOn w:val="27"/>
    <w:link w:val="11"/>
    <w:qFormat/>
    <w:uiPriority w:val="9"/>
    <w:rPr>
      <w:rFonts w:ascii="Cambria" w:hAnsi="Cambria" w:eastAsia="宋体" w:cs="Times New Roman"/>
      <w:kern w:val="0"/>
      <w:sz w:val="20"/>
      <w:szCs w:val="21"/>
    </w:rPr>
  </w:style>
  <w:style w:type="paragraph" w:customStyle="1" w:styleId="66">
    <w:name w:val="BZ_一级标题"/>
    <w:basedOn w:val="3"/>
    <w:next w:val="1"/>
    <w:link w:val="67"/>
    <w:qFormat/>
    <w:uiPriority w:val="0"/>
    <w:pPr>
      <w:widowControl/>
      <w:spacing w:beforeLines="50" w:afterLines="50" w:line="240" w:lineRule="auto"/>
    </w:pPr>
    <w:rPr>
      <w:rFonts w:ascii="Times New Roman" w:hAnsi="Times New Roman" w:eastAsia="华文中宋"/>
      <w:sz w:val="36"/>
      <w:szCs w:val="36"/>
    </w:rPr>
  </w:style>
  <w:style w:type="character" w:customStyle="1" w:styleId="67">
    <w:name w:val="BZ_一级标题 Char"/>
    <w:basedOn w:val="27"/>
    <w:link w:val="66"/>
    <w:qFormat/>
    <w:uiPriority w:val="0"/>
    <w:rPr>
      <w:rFonts w:ascii="Times New Roman" w:hAnsi="Times New Roman" w:eastAsia="华文中宋" w:cs="Times New Roman"/>
      <w:b/>
      <w:bCs/>
      <w:kern w:val="44"/>
      <w:sz w:val="36"/>
      <w:szCs w:val="36"/>
    </w:rPr>
  </w:style>
  <w:style w:type="paragraph" w:customStyle="1" w:styleId="68">
    <w:name w:val="BZ_二级标题"/>
    <w:basedOn w:val="4"/>
    <w:next w:val="1"/>
    <w:link w:val="69"/>
    <w:qFormat/>
    <w:uiPriority w:val="0"/>
    <w:pPr>
      <w:widowControl/>
      <w:spacing w:beforeLines="50" w:afterLines="50" w:line="240" w:lineRule="auto"/>
    </w:pPr>
    <w:rPr>
      <w:rFonts w:ascii="Times New Roman" w:hAnsi="Times New Roman" w:eastAsia="楷体" w:cstheme="majorBidi"/>
    </w:rPr>
  </w:style>
  <w:style w:type="character" w:customStyle="1" w:styleId="69">
    <w:name w:val="BZ_二级标题 Char"/>
    <w:basedOn w:val="27"/>
    <w:link w:val="68"/>
    <w:qFormat/>
    <w:uiPriority w:val="0"/>
    <w:rPr>
      <w:rFonts w:ascii="Times New Roman" w:hAnsi="Times New Roman" w:eastAsia="楷体" w:cstheme="majorBidi"/>
      <w:b/>
      <w:bCs/>
      <w:sz w:val="32"/>
      <w:szCs w:val="32"/>
    </w:rPr>
  </w:style>
  <w:style w:type="character" w:customStyle="1" w:styleId="70">
    <w:name w:val="列出段落 Char"/>
    <w:basedOn w:val="27"/>
    <w:link w:val="59"/>
    <w:qFormat/>
    <w:uiPriority w:val="34"/>
  </w:style>
  <w:style w:type="paragraph" w:customStyle="1" w:styleId="71">
    <w:name w:val="BZ_图"/>
    <w:basedOn w:val="1"/>
    <w:next w:val="1"/>
    <w:link w:val="72"/>
    <w:qFormat/>
    <w:uiPriority w:val="0"/>
    <w:pPr>
      <w:keepNext/>
      <w:widowControl/>
      <w:spacing w:beforeLines="50" w:afterLines="50"/>
      <w:jc w:val="center"/>
    </w:pPr>
    <w:rPr>
      <w:rFonts w:ascii="Times New Roman" w:hAnsi="Times New Roman" w:eastAsia="宋体" w:cs="Times New Roman"/>
      <w:szCs w:val="24"/>
    </w:rPr>
  </w:style>
  <w:style w:type="character" w:customStyle="1" w:styleId="72">
    <w:name w:val="BZ_图 Char"/>
    <w:basedOn w:val="27"/>
    <w:link w:val="71"/>
    <w:qFormat/>
    <w:uiPriority w:val="0"/>
    <w:rPr>
      <w:rFonts w:ascii="Times New Roman" w:hAnsi="Times New Roman" w:eastAsia="宋体" w:cs="Times New Roman"/>
      <w:szCs w:val="24"/>
    </w:rPr>
  </w:style>
  <w:style w:type="paragraph" w:customStyle="1" w:styleId="73">
    <w:name w:val="BZ_三级标题"/>
    <w:basedOn w:val="5"/>
    <w:next w:val="1"/>
    <w:link w:val="74"/>
    <w:qFormat/>
    <w:uiPriority w:val="0"/>
    <w:pPr>
      <w:widowControl/>
      <w:spacing w:beforeLines="50" w:afterLines="50" w:line="240" w:lineRule="auto"/>
    </w:pPr>
    <w:rPr>
      <w:rFonts w:eastAsia="黑体"/>
      <w:kern w:val="0"/>
      <w:sz w:val="28"/>
      <w:szCs w:val="28"/>
    </w:rPr>
  </w:style>
  <w:style w:type="character" w:customStyle="1" w:styleId="74">
    <w:name w:val="BZ_三级标题 Char"/>
    <w:basedOn w:val="37"/>
    <w:link w:val="73"/>
    <w:qFormat/>
    <w:uiPriority w:val="0"/>
    <w:rPr>
      <w:rFonts w:ascii="Times New Roman" w:hAnsi="Times New Roman" w:eastAsia="黑体" w:cs="Times New Roman"/>
      <w:kern w:val="0"/>
      <w:sz w:val="28"/>
      <w:szCs w:val="28"/>
    </w:rPr>
  </w:style>
  <w:style w:type="table" w:customStyle="1" w:styleId="75">
    <w:name w:val="BZ_表格1"/>
    <w:basedOn w:val="25"/>
    <w:qFormat/>
    <w:uiPriority w:val="99"/>
    <w:pPr>
      <w:spacing w:line="276" w:lineRule="auto"/>
      <w:jc w:val="both"/>
    </w:pPr>
    <w:rPr>
      <w:rFonts w:eastAsia="宋体"/>
      <w:kern w:val="0"/>
      <w:sz w:val="20"/>
      <w:szCs w:val="20"/>
    </w:rPr>
    <w:tblPr>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rPr>
      <w:jc w:val="center"/>
    </w:trPr>
    <w:tcPr>
      <w:shd w:val="clear" w:color="auto" w:fill="auto"/>
      <w:vAlign w:val="center"/>
    </w:tcPr>
    <w:tblStylePr w:type="firstRow">
      <w:pPr>
        <w:wordWrap/>
        <w:spacing w:beforeLines="0" w:beforeAutospacing="0" w:afterLines="0" w:afterAutospacing="0" w:line="360" w:lineRule="auto"/>
        <w:ind w:left="0" w:leftChars="0" w:right="0" w:rightChars="0" w:firstLine="0" w:firstLineChars="0"/>
      </w:pPr>
      <w:rPr>
        <w:rFonts w:eastAsia="宋体"/>
        <w:b/>
        <w:sz w:val="21"/>
      </w:rPr>
      <w:tcPr>
        <w:shd w:val="clear" w:color="auto" w:fill="D8D8D8" w:themeFill="background1" w:themeFillShade="D9"/>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D6B95-AE44-43BB-98B4-7B0EC74D59AC}">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3940</Words>
  <Characters>22463</Characters>
  <Lines>187</Lines>
  <Paragraphs>52</Paragraphs>
  <TotalTime>13</TotalTime>
  <ScaleCrop>false</ScaleCrop>
  <LinksUpToDate>false</LinksUpToDate>
  <CharactersWithSpaces>26351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2021-05-24T01:34:00Z</dcterms:created>
  <dc:creator>数据驿站</dc:creator>
  <cp:lastModifiedBy>曾群安</cp:lastModifiedBy>
  <dcterms:modified xsi:type="dcterms:W3CDTF">2021-07-19T08:26:19Z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73320144AE664A43B57F130B6377421D</vt:lpwstr>
  </property>
</Properties>
</file>