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jc w:val="lef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rPr>
          <w:rFonts w:hint="eastAsia" w:ascii="楷体" w:hAnsi="楷体" w:eastAsia="方正小标宋简体" w:cs="楷体"/>
          <w:color w:val="auto"/>
          <w:sz w:val="40"/>
          <w:szCs w:val="40"/>
          <w:lang w:eastAsia="zh-CN"/>
        </w:rPr>
      </w:pPr>
      <w:bookmarkStart w:id="0" w:name="_GoBack"/>
      <w:r>
        <w:rPr>
          <w:rFonts w:ascii="Times New Roman" w:hAnsi="Times New Roman" w:eastAsia="方正小标宋简体"/>
          <w:color w:val="auto"/>
          <w:sz w:val="40"/>
          <w:szCs w:val="40"/>
        </w:rPr>
        <w:t>浙江省</w:t>
      </w:r>
      <w:r>
        <w:rPr>
          <w:rFonts w:hint="eastAsia" w:ascii="Times New Roman" w:hAnsi="Times New Roman" w:eastAsia="方正小标宋简体"/>
          <w:color w:val="auto"/>
          <w:sz w:val="40"/>
          <w:szCs w:val="40"/>
          <w:lang w:eastAsia="zh-CN"/>
        </w:rPr>
        <w:t>测绘资质单位信用等级评分标准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520"/>
        <w:gridCol w:w="609"/>
        <w:gridCol w:w="1096"/>
        <w:gridCol w:w="452"/>
        <w:gridCol w:w="8546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519" w:type="dxa"/>
            <w:tcBorders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520" w:type="dxa"/>
            <w:tcBorders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lang w:eastAsia="zh-CN" w:bidi="ar"/>
              </w:rPr>
              <w:t>一级指标</w:t>
            </w:r>
          </w:p>
        </w:tc>
        <w:tc>
          <w:tcPr>
            <w:tcW w:w="6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lang w:eastAsia="zh-CN" w:bidi="ar"/>
              </w:rPr>
              <w:t>分值</w:t>
            </w:r>
          </w:p>
        </w:tc>
        <w:tc>
          <w:tcPr>
            <w:tcW w:w="10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lang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lang w:eastAsia="zh-CN" w:bidi="ar"/>
              </w:rPr>
              <w:t>指标</w:t>
            </w:r>
          </w:p>
        </w:tc>
        <w:tc>
          <w:tcPr>
            <w:tcW w:w="452" w:type="dxa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lang w:eastAsia="zh-CN" w:bidi="ar"/>
              </w:rPr>
              <w:t>分值</w:t>
            </w:r>
          </w:p>
        </w:tc>
        <w:tc>
          <w:tcPr>
            <w:tcW w:w="854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lang w:eastAsia="zh-CN" w:bidi="ar"/>
              </w:rPr>
              <w:t>评分说明</w:t>
            </w:r>
          </w:p>
        </w:tc>
        <w:tc>
          <w:tcPr>
            <w:tcW w:w="224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pacing w:val="-11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-11"/>
                <w:kern w:val="0"/>
                <w:sz w:val="24"/>
                <w:szCs w:val="24"/>
                <w:lang w:eastAsia="zh-CN" w:bidi="ar"/>
              </w:rPr>
              <w:t>数源部门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19" w:type="dxa"/>
            <w:vMerge w:val="restart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0" w:type="dxa"/>
            <w:vMerge w:val="restart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基本情况</w:t>
            </w:r>
          </w:p>
        </w:tc>
        <w:tc>
          <w:tcPr>
            <w:tcW w:w="60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主要人员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黑体" w:hAnsi="黑体" w:eastAsia="宋体" w:cs="黑体"/>
                <w:b w:val="0"/>
                <w:bCs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法定代表人、董监高、实际控制人等主要人员列入严重失信名单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的，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扣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/人次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224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 w:bidi="ar"/>
              </w:rPr>
              <w:t>法院系统、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  <w:t>其他相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 w:bidi="ar"/>
              </w:rPr>
              <w:t>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19" w:type="dxa"/>
            <w:vMerge w:val="continue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20" w:type="dxa"/>
            <w:vMerge w:val="continue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法定代表人、董监高、实际控制人等主要人员未履行生效裁判信息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的，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扣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/人次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224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 w:bidi="ar"/>
              </w:rPr>
              <w:t>法院系统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19" w:type="dxa"/>
            <w:vMerge w:val="continue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20" w:type="dxa"/>
            <w:vMerge w:val="continue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经营信息</w:t>
            </w: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被列入经营异常名录信息或法人证书被冻结的，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扣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224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 w:bidi="ar"/>
              </w:rPr>
              <w:t>市场监管部门、事业单位登记管理部门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9" w:type="dxa"/>
            <w:vMerge w:val="continue"/>
            <w:tcBorders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20" w:type="dxa"/>
            <w:vMerge w:val="continue"/>
            <w:tcBorders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被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列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为非正常户信息的，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扣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224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 w:bidi="ar"/>
              </w:rPr>
              <w:t>税务部门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9" w:type="dxa"/>
            <w:vMerge w:val="restart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20" w:type="dxa"/>
            <w:vMerge w:val="restart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金融财税</w:t>
            </w:r>
          </w:p>
        </w:tc>
        <w:tc>
          <w:tcPr>
            <w:tcW w:w="60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19.5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金融信息</w:t>
            </w: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13.5</w:t>
            </w:r>
          </w:p>
        </w:tc>
        <w:tc>
          <w:tcPr>
            <w:tcW w:w="8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未履行融资信贷领域生效裁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决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的，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扣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224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 w:bidi="ar"/>
              </w:rPr>
              <w:t>法院系统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19" w:type="dxa"/>
            <w:vMerge w:val="continue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20" w:type="dxa"/>
            <w:vMerge w:val="continue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52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4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发生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融资信贷领域刑事犯罪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的，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扣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224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 w:bidi="ar"/>
              </w:rPr>
              <w:t>法院系统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19" w:type="dxa"/>
            <w:vMerge w:val="continue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20" w:type="dxa"/>
            <w:vMerge w:val="continue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52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4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存在恶意逃废债务行为的，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扣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1.5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224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 w:bidi="ar"/>
              </w:rPr>
              <w:t>金融部门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19" w:type="dxa"/>
            <w:vMerge w:val="continue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20" w:type="dxa"/>
            <w:vMerge w:val="continue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4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未按规定参加境外直接投资存量权益登记信息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的，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扣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224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 w:bidi="ar"/>
              </w:rPr>
              <w:t>人行部门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19" w:type="dxa"/>
            <w:vMerge w:val="continue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20" w:type="dxa"/>
            <w:vMerge w:val="continue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9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税费信息</w:t>
            </w:r>
          </w:p>
        </w:tc>
        <w:tc>
          <w:tcPr>
            <w:tcW w:w="452" w:type="dxa"/>
            <w:vMerge w:val="restart"/>
            <w:tcBorders>
              <w:left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54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社保费用欠缴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累计超过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3个月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的，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扣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224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 w:bidi="ar"/>
              </w:rPr>
              <w:t>税务部门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9" w:type="dxa"/>
            <w:vMerge w:val="continue"/>
            <w:tcBorders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20" w:type="dxa"/>
            <w:vMerge w:val="continue"/>
            <w:tcBorders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4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被列入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恶意欠税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名单的，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扣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224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 w:bidi="ar"/>
              </w:rPr>
              <w:t>税务部门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19" w:type="dxa"/>
            <w:vMerge w:val="restart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20" w:type="dxa"/>
            <w:vMerge w:val="restart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管治能力</w:t>
            </w:r>
          </w:p>
        </w:tc>
        <w:tc>
          <w:tcPr>
            <w:tcW w:w="60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产品质量信息</w:t>
            </w:r>
          </w:p>
        </w:tc>
        <w:tc>
          <w:tcPr>
            <w:tcW w:w="452" w:type="dxa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54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国家级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测绘质量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监督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检查中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测绘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成果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质量不合格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的，扣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省级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测绘质量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监督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检查中，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测绘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成果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质量不合格的，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扣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3.其他被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法定质检机构检验质量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不合格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扣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224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  <w:t>自然资源主管部门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19" w:type="dxa"/>
            <w:vMerge w:val="continue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20" w:type="dxa"/>
            <w:vMerge w:val="continue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安全生产信息</w:t>
            </w:r>
          </w:p>
        </w:tc>
        <w:tc>
          <w:tcPr>
            <w:tcW w:w="452" w:type="dxa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54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1.省级以上测绘安全生产监督检查，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被责令限期改正的，扣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/次；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2.其他领域安全生产监督检查，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被责令限期改正的，扣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/次。</w:t>
            </w:r>
          </w:p>
        </w:tc>
        <w:tc>
          <w:tcPr>
            <w:tcW w:w="224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黑体" w:cs="Times New Roman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  <w:t>自然资源主管部门、应急管理部门、住建部门、消防部门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19" w:type="dxa"/>
            <w:vMerge w:val="continue"/>
            <w:tcBorders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20" w:type="dxa"/>
            <w:vMerge w:val="continue"/>
            <w:tcBorders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环境保护信息</w:t>
            </w:r>
          </w:p>
        </w:tc>
        <w:tc>
          <w:tcPr>
            <w:tcW w:w="452" w:type="dxa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54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突发环境事件涉及测绘地理信息工作责任的，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扣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/次。</w:t>
            </w:r>
          </w:p>
        </w:tc>
        <w:tc>
          <w:tcPr>
            <w:tcW w:w="224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  <w:t>生态环境部门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19" w:type="dxa"/>
            <w:vMerge w:val="restart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20" w:type="dxa"/>
            <w:vMerge w:val="restart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遵纪守法</w:t>
            </w:r>
          </w:p>
        </w:tc>
        <w:tc>
          <w:tcPr>
            <w:tcW w:w="60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51.5</w:t>
            </w:r>
          </w:p>
        </w:tc>
        <w:tc>
          <w:tcPr>
            <w:tcW w:w="109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行政管理信息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5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违反测绘资质相关规定从事测绘活动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受到测绘地理信息行政处罚的，扣10分/次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违反招投标相关规定开展测绘项目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受到测绘地理信息行政处罚的，扣10分/次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违反测绘成果管理相关规定汇交测绘成果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受到测绘地理信息行政处罚的，扣10分/次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违反地图管理规定编制、出版、展示、登载、更新的地图或者从事互联网地图服务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受到测绘地理信息行政处罚的，扣10分/次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5.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违反保密管理规定，获取、持有、提供、利用属于国家秘密的地理信息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受到测绘地理信息行政处罚的，扣10分/次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6.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其他测绘地理信息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市场经营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行为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受到行政处罚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的，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扣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224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  <w:t>自然资源主管部门、其他相关部门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519" w:type="dxa"/>
            <w:vMerge w:val="continue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20" w:type="dxa"/>
            <w:vMerge w:val="continue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5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不履行与测绘地理信息有关的处罚、判决、裁定等，被强制执行的，扣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不履行其他领域的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处罚、判决、裁定等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，被强制执行的，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扣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224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  <w:t>自然资源主管部门、法院系统、其他相关部门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19" w:type="dxa"/>
            <w:vMerge w:val="continue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20" w:type="dxa"/>
            <w:vMerge w:val="continue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未履行行政事项办理过程中作出信用承诺的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扣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224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  <w:t>自然资源主管部门、其他相关部门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5" w:hRule="atLeast"/>
        </w:trPr>
        <w:tc>
          <w:tcPr>
            <w:tcW w:w="519" w:type="dxa"/>
            <w:vMerge w:val="continue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20" w:type="dxa"/>
            <w:vMerge w:val="continue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5.5</w:t>
            </w:r>
          </w:p>
        </w:tc>
        <w:tc>
          <w:tcPr>
            <w:tcW w:w="8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不配合主管部门依法实施监督检查，隐瞒、拒绝或阻碍提供有关文件资料，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扣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国家级测绘地理信息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行政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监督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检查中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测绘质量和测绘安全生产监督检查除外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），被责令整改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扣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省级测绘地理信息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行政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监督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检查中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测绘质量和测绘安全生产监督检查除外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），被责令整改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扣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4.在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测绘地理信息行政许可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事项中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提供虚假申请材料，被责令整改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扣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未按规定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要求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报送测绘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地理信息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的，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扣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6.单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位基本信息发生变更、专业技术人员离职、技术装备所有权发生变更或报废的，未在三十日内通过全国测绘资质管理信息系统申请更新有关信息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扣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0.5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default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7.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其他经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主管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部门认定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不良信息的，扣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224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  <w:t>自然资源主管部门、其他相关部门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519" w:type="dxa"/>
            <w:vMerge w:val="continue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20" w:type="dxa"/>
            <w:vMerge w:val="continue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司法处理信息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5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除失信被执行人和融资领域外，单位未履行生效裁判的，扣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除融资领域外，违反刑法规定构成犯罪的，扣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被法院认定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虚假诉讼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且未构成刑事犯罪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的，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扣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224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  <w:t>法院系统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19" w:type="dxa"/>
            <w:vMerge w:val="continue"/>
            <w:tcBorders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20" w:type="dxa"/>
            <w:vMerge w:val="continue"/>
            <w:tcBorders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严重失信信息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1.被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列入自然资源领域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严重失信名单的，扣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default"/>
                <w:color w:val="auto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2.被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列入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其他领域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严重失信名单（失信被执行人）的，扣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；</w:t>
            </w:r>
          </w:p>
        </w:tc>
        <w:tc>
          <w:tcPr>
            <w:tcW w:w="224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 w:bidi="ar"/>
              </w:rPr>
              <w:t>自然资源主管部门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  <w:t>法院系统、其他相关部门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19" w:type="dxa"/>
            <w:vMerge w:val="restart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20" w:type="dxa"/>
            <w:vMerge w:val="restart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社会责任</w:t>
            </w:r>
          </w:p>
        </w:tc>
        <w:tc>
          <w:tcPr>
            <w:tcW w:w="60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公益慈善信息</w:t>
            </w: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成立志愿服务队伍开展志愿服务活动，且志愿服务记录时长累计达到1000小时的，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224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  <w:t>省委宣传部（省文明办）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19" w:type="dxa"/>
            <w:vMerge w:val="continue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20" w:type="dxa"/>
            <w:vMerge w:val="continue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红十字突出贡献捐赠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单位的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，加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2.年度内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捐赠票据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金额累计达到10万元的，加0.5分；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3.年度内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捐赠票据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金额累计达到50万元的，加1分。</w:t>
            </w:r>
          </w:p>
        </w:tc>
        <w:tc>
          <w:tcPr>
            <w:tcW w:w="224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  <w:t>省红十字会、民政部门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19" w:type="dxa"/>
            <w:vMerge w:val="continue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20" w:type="dxa"/>
            <w:vMerge w:val="continue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守信激励信息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被列入A级纳税人或其他部门红名单的，加0.5分/次。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  <w:t>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19" w:type="dxa"/>
            <w:vMerge w:val="continue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20" w:type="dxa"/>
            <w:vMerge w:val="continue"/>
            <w:tcBorders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获得党委、人大、政府、政协及有关部门表彰的，加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zh-CN" w:bidi="ar"/>
              </w:rPr>
              <w:t>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zh-CN" w:bidi="ar"/>
              </w:rPr>
              <w:t>配合处置突发事件、参与应急抢险、自然灾害救援的，加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zh-CN" w:bidi="ar"/>
              </w:rPr>
              <w:t>次；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获得国家级测绘地理信息领域学会、协会等社会团体评定的第三等次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奖项或荣誉称号的，加3分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zh-CN" w:bidi="ar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获得省级测绘地理信息领域学会、协会等社会团体评定的第二等次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奖项或荣誉称号的，加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zh-CN" w:bidi="ar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5.主编省级以上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测绘地理信息行业标准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的，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加1分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/个；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6.获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得测绘地理信息发明专利的，加1分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/项。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 w:bidi="ar"/>
              </w:rPr>
              <w:t>自然资源主管部门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bidi="ar"/>
              </w:rPr>
              <w:t>国家知识产权局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  <w:t>测绘地理信息学会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  <w:t>协会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  <w:t>、其他相关部门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Lines="50" w:after="0" w:afterLines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注：单项评分扣分累计二级指标分值扣完为止，加分累计不超过二级指标分值。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NmJiYzFiNTA3ODE1N2VmZmI5OGJjY2M2YmJjMmYifQ=="/>
  </w:docVars>
  <w:rsids>
    <w:rsidRoot w:val="725F08A2"/>
    <w:rsid w:val="725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2022-11-29T09:15:00Z</dcterms:created>
  <dc:creator>南星</dc:creator>
  <cp:lastModifiedBy>南星</cp:lastModifiedBy>
  <dcterms:modified xsi:type="dcterms:W3CDTF">2022-11-29T09:16:28Z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97A1833B066D455B996B97CEEFFE75A7</vt:lpwstr>
  </property>
</Properties>
</file>