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附件14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诸暨市城镇规划区压覆矿产资源白名单一览表</w:t>
      </w:r>
      <w:bookmarkEnd w:id="0"/>
    </w:p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126"/>
        <w:gridCol w:w="113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暨阳街道区块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暨阳街道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45.20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暨阳街道办事处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陶朱街道区块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陶朱街道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39.20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陶朱街道办事处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大唐街道区块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大唐、草塔一带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19.70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店口镇区块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店口、阮市一带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28.30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马剑镇区块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马剑一带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马剑镇人民政府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枫桥镇区块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枫桥一带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12.50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枫桥镇人民政府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牌头镇区块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牌头一带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3.90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牌头镇人民政府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同山镇区块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同山一带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同山镇人民政府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3.40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东白湖镇区块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东白湖一带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东白湖镇人民政府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陈宅镇区块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陈宅一带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陈宅镇人民政府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岭北镇区块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岭北一带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岭北镇人民政府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14F9"/>
    <w:rsid w:val="1B9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2020-01-19T09:58:00Z</dcterms:created>
  <dc:creator>麦芽糖</dc:creator>
  <cp:lastModifiedBy>麦芽糖</cp:lastModifiedBy>
  <dcterms:modified xsi:type="dcterms:W3CDTF">2020-01-19T09:58:25Z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