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附件2</w:t>
      </w:r>
    </w:p>
    <w:p>
      <w:pPr>
        <w:pStyle w:val="3"/>
        <w:spacing w:beforeLines="0" w:afterLines="0" w:line="580" w:lineRule="exact"/>
        <w:jc w:val="center"/>
        <w:rPr>
          <w:rFonts w:ascii="黑体" w:hAnsi="黑体" w:eastAsia="黑体" w:cs="黑体"/>
          <w:b w:val="0"/>
          <w:bCs/>
          <w:color w:val="000000"/>
          <w:sz w:val="32"/>
          <w:szCs w:val="32"/>
        </w:rPr>
      </w:pPr>
    </w:p>
    <w:p>
      <w:pPr>
        <w:pStyle w:val="3"/>
        <w:spacing w:line="64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浙江省钱塘江源头区域山水林田湖草生态保护修复工程试点项目管理办法</w:t>
      </w:r>
    </w:p>
    <w:p>
      <w:pPr>
        <w:pStyle w:val="3"/>
        <w:spacing w:before="0" w:beforeLines="0" w:after="0" w:afterLines="0" w:line="580" w:lineRule="exact"/>
        <w:jc w:val="center"/>
        <w:rPr>
          <w:rFonts w:ascii="黑体" w:hAnsi="黑体" w:eastAsia="黑体" w:cs="黑体"/>
          <w:bCs/>
          <w:color w:val="000000"/>
          <w:sz w:val="32"/>
          <w:szCs w:val="32"/>
        </w:rPr>
      </w:pPr>
    </w:p>
    <w:p>
      <w:pPr>
        <w:pStyle w:val="3"/>
        <w:spacing w:before="0" w:beforeLines="0" w:after="0" w:afterLines="0" w:line="580" w:lineRule="exact"/>
        <w:jc w:val="center"/>
        <w:rPr>
          <w:rFonts w:ascii="黑体" w:hAnsi="黑体" w:eastAsia="黑体" w:cs="黑体"/>
          <w:bCs/>
          <w:color w:val="000000"/>
          <w:sz w:val="32"/>
          <w:szCs w:val="32"/>
        </w:rPr>
      </w:pPr>
      <w:r>
        <w:rPr>
          <w:rFonts w:ascii="黑体" w:hAnsi="黑体" w:eastAsia="黑体" w:cs="黑体"/>
          <w:bCs/>
          <w:color w:val="000000"/>
          <w:sz w:val="32"/>
          <w:szCs w:val="32"/>
        </w:rPr>
        <w:t>第一章</w:t>
      </w:r>
      <w:r>
        <w:rPr>
          <w:rFonts w:hint="eastAsia" w:ascii="黑体" w:hAnsi="黑体" w:eastAsia="黑体" w:cs="黑体"/>
          <w:bCs/>
          <w:color w:val="000000"/>
          <w:sz w:val="32"/>
          <w:szCs w:val="32"/>
          <w:lang w:val="en-US" w:eastAsia="zh-CN"/>
        </w:rPr>
        <w:t xml:space="preserve"> </w:t>
      </w:r>
      <w:r>
        <w:rPr>
          <w:rFonts w:ascii="黑体" w:hAnsi="黑体" w:eastAsia="黑体" w:cs="黑体"/>
          <w:bCs/>
          <w:color w:val="000000"/>
          <w:sz w:val="32"/>
          <w:szCs w:val="32"/>
        </w:rPr>
        <w:t xml:space="preserve"> 总则</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ascii="仿宋_GB2312"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第一条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为加强和规范浙江省钱塘江源头区域山水林田湖草生态保护修复工程试点项目管理，根据《关于推进山水林田湖生态保护修复工作的通知》</w:t>
      </w:r>
      <w:r>
        <w:rPr>
          <w:rFonts w:ascii="Times New Roman" w:hAnsi="Times New Roman" w:cs="Times New Roman"/>
          <w:color w:val="000000"/>
          <w:sz w:val="32"/>
          <w:szCs w:val="32"/>
        </w:rPr>
        <w:t>（</w:t>
      </w:r>
      <w:r>
        <w:rPr>
          <w:rFonts w:ascii="Times New Roman" w:hAnsi="Times New Roman" w:eastAsia="仿宋_GB2312" w:cs="Times New Roman"/>
          <w:color w:val="000000"/>
          <w:sz w:val="32"/>
          <w:szCs w:val="32"/>
        </w:rPr>
        <w:t>财建〔2016〕725号</w:t>
      </w:r>
      <w:r>
        <w:rPr>
          <w:rFonts w:ascii="Times New Roman" w:hAnsi="Times New Roman" w:cs="Times New Roman"/>
          <w:color w:val="000000"/>
          <w:sz w:val="32"/>
          <w:szCs w:val="32"/>
        </w:rPr>
        <w:t>）</w:t>
      </w:r>
      <w:r>
        <w:rPr>
          <w:rFonts w:ascii="Times New Roman" w:hAnsi="Times New Roman" w:eastAsia="仿宋_GB2312" w:cs="Times New Roman"/>
          <w:color w:val="000000"/>
          <w:sz w:val="32"/>
          <w:szCs w:val="32"/>
        </w:rPr>
        <w:t>、《重点生态保护修复治理资金管理办法的通知》（财建〔2019〕29号）、《关于印发浙江省钱塘江源头区域山水林田湖草生态保护修复资金管理办法的通知》（浙财建〔2019〕35号）和《浙江省钱塘江源头区域山水林田湖草生态保护修复工程</w:t>
      </w:r>
      <w:r>
        <w:rPr>
          <w:rFonts w:hint="eastAsia" w:ascii="仿宋_GB2312" w:hAnsi="Times New Roman" w:eastAsia="仿宋_GB2312" w:cs="Times New Roman"/>
          <w:color w:val="000000"/>
          <w:sz w:val="32"/>
          <w:szCs w:val="32"/>
        </w:rPr>
        <w:t>试点实施方案》（以下简称“实施方案”），以及国家、省相关规定，制定本办法。</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 xml:space="preserve">第二条 </w:t>
      </w:r>
      <w:r>
        <w:rPr>
          <w:rFonts w:hint="eastAsia" w:ascii="仿宋_GB2312" w:hAnsi="Times New Roman" w:eastAsia="仿宋_GB2312" w:cs="Times New Roman"/>
          <w:b/>
          <w:color w:val="000000"/>
          <w:sz w:val="32"/>
          <w:szCs w:val="32"/>
          <w:lang w:val="en-US" w:eastAsia="zh-CN"/>
        </w:rPr>
        <w:t xml:space="preserve"> </w:t>
      </w:r>
      <w:r>
        <w:rPr>
          <w:rFonts w:hint="eastAsia" w:ascii="仿宋_GB2312" w:hAnsi="Times New Roman" w:eastAsia="仿宋_GB2312" w:cs="Times New Roman"/>
          <w:color w:val="000000"/>
          <w:sz w:val="32"/>
          <w:szCs w:val="32"/>
        </w:rPr>
        <w:t>浙江省钱塘江源头区域山水林田湖草生态保护修复工程试点项目（以下简称“试点项目”）是指列入自然资源部、生态环境部、财政部的山水林田湖草生态保护修复工程试点项目。</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试点项目涉及杭州市建德市、淳安县和衢州市开化县、常山县〔以下简称“四县（市）”〕，建设内容包括土</w:t>
      </w:r>
      <w:r>
        <w:rPr>
          <w:rFonts w:ascii="Times New Roman" w:hAnsi="Times New Roman" w:eastAsia="仿宋_GB2312" w:cs="Times New Roman"/>
          <w:color w:val="000000"/>
          <w:sz w:val="32"/>
          <w:szCs w:val="32"/>
        </w:rPr>
        <w:t>地综合整治、矿山生态修复、流域水环境保护治理、污染与退化土地修复治理、生物多样性保护、重要生态系统保护修复等重点工程。</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ascii="仿宋_GB2312"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第三条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试点项目的实施，</w:t>
      </w:r>
      <w:r>
        <w:rPr>
          <w:rFonts w:hint="eastAsia" w:ascii="仿宋_GB2312" w:hAnsi="Times New Roman" w:eastAsia="仿宋_GB2312" w:cs="Times New Roman"/>
          <w:color w:val="000000"/>
          <w:sz w:val="32"/>
          <w:szCs w:val="32"/>
        </w:rPr>
        <w:t>秉持“山水林田湖草是一个生命共同体”的理念，坚持自然恢复为主、人工治理为辅的原则，按照“统筹规划、突出特色；保护优先、规模治理；分类实施、系统推进”的总要求，对山上山下、地上地下、流域上下游进行整体保护、综合治理，探索促进钱塘江源头地区经济发展和环境保护的生态修复模式，实现人与自然和谐发展。</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第四条 </w:t>
      </w:r>
      <w:r>
        <w:rPr>
          <w:rFonts w:hint="eastAsia" w:ascii="Times New Roman" w:hAnsi="Times New Roman" w:eastAsia="仿宋_GB2312" w:cs="Times New Roman"/>
          <w:b/>
          <w:color w:val="000000"/>
          <w:sz w:val="32"/>
          <w:szCs w:val="32"/>
          <w:lang w:val="en-US" w:eastAsia="zh-CN"/>
        </w:rPr>
        <w:t xml:space="preserve"> </w:t>
      </w:r>
      <w:r>
        <w:rPr>
          <w:rFonts w:hint="eastAsia" w:ascii="仿宋_GB2312" w:hAnsi="仿宋_GB2312" w:eastAsia="仿宋_GB2312" w:cs="仿宋_GB2312"/>
          <w:color w:val="000000"/>
          <w:sz w:val="32"/>
          <w:szCs w:val="32"/>
        </w:rPr>
        <w:t>建立浙江省钱塘江源头区域山水林田湖草生态保护修复工程试点工作例会推进制，由省政府领导召集定期召开会议，省财政厅、省自然资源厅、省生态环境厅、省水利厅、省农业农村厅、省林业局等部门和两市四县（市）负责人参加，听取工作进展汇报，分析存在的问题，研究推进工作的举措。</w:t>
      </w:r>
      <w:r>
        <w:rPr>
          <w:rFonts w:ascii="Times New Roman" w:hAnsi="Times New Roman" w:eastAsia="仿宋_GB2312" w:cs="Times New Roman"/>
          <w:color w:val="000000"/>
          <w:sz w:val="32"/>
          <w:szCs w:val="32"/>
        </w:rPr>
        <w:t>省自然资源厅牵头抓好具体工作落实，建立相关厅局处室负责人参加的联络员制度，联络员办公室设在省自然资源厅。</w:t>
      </w:r>
      <w:r>
        <w:rPr>
          <w:rFonts w:ascii="Times New Roman" w:hAnsi="Times New Roman" w:eastAsia="仿宋_GB2312" w:cs="Times New Roman"/>
          <w:b/>
          <w:color w:val="000000"/>
          <w:sz w:val="32"/>
          <w:szCs w:val="32"/>
        </w:rPr>
        <w:t xml:space="preserve"> </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试点项目相关市、县（市）人民政府分别成立钱塘江源头区域山水林田湖草生态保护修复试点工作领导小组（以下简称“领导小组”），由政府主要领导任组长、分管领导任副组长，财政、自然资源、生态环境、水利</w:t>
      </w:r>
      <w:r>
        <w:rPr>
          <w:rFonts w:ascii="Times New Roman" w:hAnsi="Times New Roman" w:eastAsia="仿宋_GB2312" w:cs="Times New Roman"/>
          <w:color w:val="000000"/>
          <w:sz w:val="32"/>
          <w:szCs w:val="32"/>
        </w:rPr>
        <w:t>、农业农村、林业等有关部门为成员单位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各领导小组下设办公室，办公室设于同级自然资源部门。</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第五条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省</w:t>
      </w:r>
      <w:r>
        <w:rPr>
          <w:rFonts w:hint="eastAsia" w:ascii="Times New Roman" w:hAnsi="Times New Roman" w:eastAsia="仿宋_GB2312" w:cs="Times New Roman"/>
          <w:color w:val="000000"/>
          <w:sz w:val="32"/>
          <w:szCs w:val="32"/>
        </w:rPr>
        <w:t>级自然资源厅、省财政厅、省生态环境厅、省水利厅、农业农村厅、省林业局</w:t>
      </w:r>
      <w:r>
        <w:rPr>
          <w:rFonts w:ascii="Times New Roman" w:hAnsi="Times New Roman" w:eastAsia="仿宋_GB2312" w:cs="Times New Roman"/>
          <w:color w:val="000000"/>
          <w:sz w:val="32"/>
          <w:szCs w:val="32"/>
        </w:rPr>
        <w:t>主要负责组织编制《浙江省钱塘江源头区域山水林田湖草生态保护修复工程试点三年行动计划》（简称《省级三年行动计划》），研究制定试点工作相关配套政策措施，不定期开展任务落实情况</w:t>
      </w:r>
      <w:r>
        <w:rPr>
          <w:rFonts w:hint="eastAsia" w:ascii="Times New Roman" w:hAnsi="Times New Roman" w:eastAsia="仿宋_GB2312" w:cs="Times New Roman"/>
          <w:color w:val="000000"/>
          <w:sz w:val="32"/>
          <w:szCs w:val="32"/>
        </w:rPr>
        <w:t>及督察指导</w:t>
      </w:r>
      <w:r>
        <w:rPr>
          <w:rFonts w:ascii="Times New Roman" w:hAnsi="Times New Roman" w:eastAsia="仿宋_GB2312" w:cs="Times New Roman"/>
          <w:color w:val="000000"/>
          <w:sz w:val="32"/>
          <w:szCs w:val="32"/>
        </w:rPr>
        <w:t>，及时提出整改意见，协调解决试点项目推进过程中遇到的重点问题和难点问题。组织开展绩效评价。省直相关成员单位按</w:t>
      </w:r>
      <w:r>
        <w:rPr>
          <w:rFonts w:hint="eastAsia" w:ascii="Times New Roman" w:hAnsi="Times New Roman" w:eastAsia="仿宋_GB2312" w:cs="Times New Roman"/>
          <w:color w:val="000000"/>
          <w:sz w:val="32"/>
          <w:szCs w:val="32"/>
        </w:rPr>
        <w:t>各自职责</w:t>
      </w:r>
      <w:r>
        <w:rPr>
          <w:rFonts w:ascii="Times New Roman" w:hAnsi="Times New Roman" w:eastAsia="仿宋_GB2312" w:cs="Times New Roman"/>
          <w:color w:val="000000"/>
          <w:sz w:val="32"/>
          <w:szCs w:val="32"/>
        </w:rPr>
        <w:t>负责指导县级试点</w:t>
      </w:r>
      <w:r>
        <w:rPr>
          <w:rFonts w:hint="eastAsia" w:ascii="Times New Roman" w:hAnsi="Times New Roman" w:eastAsia="仿宋_GB2312" w:cs="Times New Roman"/>
          <w:color w:val="000000"/>
          <w:sz w:val="32"/>
          <w:szCs w:val="32"/>
        </w:rPr>
        <w:t>相关</w:t>
      </w:r>
      <w:r>
        <w:rPr>
          <w:rFonts w:ascii="Times New Roman" w:hAnsi="Times New Roman" w:eastAsia="仿宋_GB2312" w:cs="Times New Roman"/>
          <w:color w:val="000000"/>
          <w:sz w:val="32"/>
          <w:szCs w:val="32"/>
        </w:rPr>
        <w:t>项目的开展。</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市级</w:t>
      </w:r>
      <w:r>
        <w:rPr>
          <w:rFonts w:hint="eastAsia" w:ascii="Times New Roman" w:hAnsi="Times New Roman" w:eastAsia="仿宋_GB2312" w:cs="Times New Roman"/>
          <w:color w:val="000000"/>
          <w:sz w:val="32"/>
          <w:szCs w:val="32"/>
        </w:rPr>
        <w:t>领导小组</w:t>
      </w:r>
      <w:r>
        <w:rPr>
          <w:rFonts w:ascii="Times New Roman" w:hAnsi="Times New Roman" w:eastAsia="仿宋_GB2312" w:cs="Times New Roman"/>
          <w:color w:val="000000"/>
          <w:sz w:val="32"/>
          <w:szCs w:val="32"/>
        </w:rPr>
        <w:t>主要负责本辖区试点项目实施统筹协调，组织审查县级</w:t>
      </w:r>
      <w:r>
        <w:rPr>
          <w:rFonts w:hint="eastAsia" w:ascii="Times New Roman" w:hAnsi="Times New Roman" w:eastAsia="仿宋_GB2312" w:cs="Times New Roman"/>
          <w:color w:val="000000"/>
          <w:sz w:val="32"/>
          <w:szCs w:val="32"/>
        </w:rPr>
        <w:t>三年行动计划</w:t>
      </w:r>
      <w:r>
        <w:rPr>
          <w:rFonts w:ascii="Times New Roman" w:hAnsi="Times New Roman" w:eastAsia="仿宋_GB2312" w:cs="Times New Roman"/>
          <w:color w:val="000000"/>
          <w:sz w:val="32"/>
          <w:szCs w:val="32"/>
        </w:rPr>
        <w:t>。负责跨县域子项目</w:t>
      </w:r>
      <w:r>
        <w:rPr>
          <w:rFonts w:hint="eastAsia" w:ascii="仿宋_GB2312" w:eastAsia="仿宋_GB2312"/>
          <w:color w:val="000000"/>
          <w:sz w:val="32"/>
          <w:szCs w:val="32"/>
        </w:rPr>
        <w:t>协调</w:t>
      </w:r>
      <w:r>
        <w:rPr>
          <w:rFonts w:ascii="Times New Roman" w:hAnsi="Times New Roman" w:eastAsia="仿宋_GB2312" w:cs="Times New Roman"/>
          <w:color w:val="000000"/>
          <w:sz w:val="32"/>
          <w:szCs w:val="32"/>
        </w:rPr>
        <w:t>实施。负责试点项目</w:t>
      </w:r>
      <w:r>
        <w:rPr>
          <w:rFonts w:hint="eastAsia" w:ascii="Times New Roman" w:hAnsi="Times New Roman" w:eastAsia="仿宋_GB2312" w:cs="Times New Roman"/>
          <w:color w:val="000000"/>
          <w:sz w:val="32"/>
          <w:szCs w:val="32"/>
        </w:rPr>
        <w:t>质量检查</w:t>
      </w:r>
      <w:r>
        <w:rPr>
          <w:rFonts w:ascii="Times New Roman" w:hAnsi="Times New Roman" w:eastAsia="仿宋_GB2312" w:cs="Times New Roman"/>
          <w:color w:val="000000"/>
          <w:sz w:val="32"/>
          <w:szCs w:val="32"/>
        </w:rPr>
        <w:t>和</w:t>
      </w:r>
      <w:r>
        <w:rPr>
          <w:rFonts w:hint="eastAsia" w:ascii="Times New Roman" w:hAnsi="Times New Roman" w:eastAsia="仿宋_GB2312" w:cs="Times New Roman"/>
          <w:color w:val="000000"/>
          <w:sz w:val="32"/>
          <w:szCs w:val="32"/>
        </w:rPr>
        <w:t>复核</w:t>
      </w:r>
      <w:r>
        <w:rPr>
          <w:rFonts w:ascii="Times New Roman" w:hAnsi="Times New Roman" w:eastAsia="仿宋_GB2312" w:cs="Times New Roman"/>
          <w:color w:val="000000"/>
          <w:sz w:val="32"/>
          <w:szCs w:val="32"/>
        </w:rPr>
        <w:t>验收，配合省级开展绩效评价等工作。</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县级</w:t>
      </w:r>
      <w:r>
        <w:rPr>
          <w:rFonts w:hint="eastAsia" w:ascii="Times New Roman" w:hAnsi="Times New Roman" w:eastAsia="仿宋_GB2312" w:cs="Times New Roman"/>
          <w:color w:val="000000"/>
          <w:sz w:val="32"/>
          <w:szCs w:val="32"/>
        </w:rPr>
        <w:t>领导小组</w:t>
      </w:r>
      <w:r>
        <w:rPr>
          <w:rFonts w:ascii="Times New Roman" w:hAnsi="Times New Roman" w:eastAsia="仿宋_GB2312" w:cs="Times New Roman"/>
          <w:color w:val="000000"/>
          <w:sz w:val="32"/>
          <w:szCs w:val="32"/>
        </w:rPr>
        <w:t>主要负责编制县级</w:t>
      </w:r>
      <w:r>
        <w:rPr>
          <w:rFonts w:hint="eastAsia" w:ascii="Times New Roman" w:hAnsi="Times New Roman" w:eastAsia="仿宋_GB2312" w:cs="Times New Roman"/>
          <w:color w:val="000000"/>
          <w:sz w:val="32"/>
          <w:szCs w:val="32"/>
        </w:rPr>
        <w:t>三年行动计划</w:t>
      </w:r>
      <w:r>
        <w:rPr>
          <w:rFonts w:ascii="Times New Roman" w:hAnsi="Times New Roman" w:eastAsia="仿宋_GB2312" w:cs="Times New Roman"/>
          <w:color w:val="000000"/>
          <w:sz w:val="32"/>
          <w:szCs w:val="32"/>
        </w:rPr>
        <w:t>，具体组织实施试点项目。负责项目实施过程加强监管，包括招投标、合同签订、进度、质量、验收、变更监督、预（决）算和绩效评价的自评工作等。负责组织试点项目有关单位和技术专家对试点项目进行初步验收。负责试点项目立项、实施、验收阶段的系统报备和资料归档工作。</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spacing w:before="0" w:beforeLines="0" w:after="0" w:afterLines="0" w:line="600" w:lineRule="exact"/>
        <w:jc w:val="center"/>
        <w:textAlignment w:val="auto"/>
        <w:rPr>
          <w:rFonts w:ascii="黑体" w:hAnsi="黑体" w:eastAsia="黑体" w:cs="黑体"/>
          <w:bCs/>
          <w:color w:val="000000"/>
          <w:sz w:val="32"/>
          <w:szCs w:val="32"/>
        </w:rPr>
      </w:pPr>
      <w:r>
        <w:rPr>
          <w:rFonts w:ascii="黑体" w:hAnsi="黑体" w:eastAsia="黑体" w:cs="黑体"/>
          <w:bCs/>
          <w:color w:val="000000"/>
          <w:sz w:val="32"/>
          <w:szCs w:val="32"/>
        </w:rPr>
        <w:t xml:space="preserve">第二章 </w:t>
      </w:r>
      <w:r>
        <w:rPr>
          <w:rFonts w:hint="eastAsia" w:ascii="黑体" w:hAnsi="黑体" w:eastAsia="黑体" w:cs="黑体"/>
          <w:bCs/>
          <w:color w:val="000000"/>
          <w:sz w:val="32"/>
          <w:szCs w:val="32"/>
          <w:lang w:val="en-US" w:eastAsia="zh-CN"/>
        </w:rPr>
        <w:t xml:space="preserve"> </w:t>
      </w:r>
      <w:r>
        <w:rPr>
          <w:rFonts w:ascii="黑体" w:hAnsi="黑体" w:eastAsia="黑体" w:cs="黑体"/>
          <w:bCs/>
          <w:color w:val="000000"/>
          <w:sz w:val="32"/>
          <w:szCs w:val="32"/>
        </w:rPr>
        <w:t>县级三年行动计划</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第六条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四县（市）要根据省级三年行动计划</w:t>
      </w:r>
      <w:r>
        <w:rPr>
          <w:rFonts w:hint="eastAsia" w:ascii="仿宋_GB2312" w:eastAsia="仿宋_GB2312"/>
          <w:color w:val="000000"/>
          <w:sz w:val="32"/>
          <w:szCs w:val="32"/>
        </w:rPr>
        <w:t>和所在地市国土空间规划</w:t>
      </w:r>
      <w:r>
        <w:rPr>
          <w:rFonts w:ascii="Times New Roman" w:hAnsi="Times New Roman" w:eastAsia="仿宋_GB2312" w:cs="Times New Roman"/>
          <w:color w:val="000000"/>
          <w:sz w:val="32"/>
          <w:szCs w:val="32"/>
        </w:rPr>
        <w:t>，编制县级三年行动计划，经市级审查后，报省试点工作</w:t>
      </w:r>
      <w:r>
        <w:rPr>
          <w:rFonts w:hint="eastAsia" w:ascii="Times New Roman" w:hAnsi="Times New Roman" w:eastAsia="仿宋_GB2312" w:cs="Times New Roman"/>
          <w:color w:val="000000"/>
          <w:sz w:val="32"/>
          <w:szCs w:val="32"/>
        </w:rPr>
        <w:t>联络员</w:t>
      </w:r>
      <w:r>
        <w:rPr>
          <w:rFonts w:ascii="Times New Roman" w:hAnsi="Times New Roman" w:eastAsia="仿宋_GB2312" w:cs="Times New Roman"/>
          <w:color w:val="000000"/>
          <w:sz w:val="32"/>
          <w:szCs w:val="32"/>
        </w:rPr>
        <w:t>办公室备案。</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第七条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县级三年行动计划要突出本辖区试点项目实施过程中的整体性、系统性、协调性，着力打造一批可复制、可推广的精品子项目。</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第八条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县级三年行动计划应明确本辖区试点项目总体目标、阶段目标、年度计划、绩效目标。内容应包含实施区基本情况，分析影响实现绩效目标的关键性问题，提出有效解决措施。进一步细化确定子项目的名称、位置、规模、范围坐标、投资估算、资金筹措（含资金来源和各自具体比例）、绩效目标，以及起止时间。</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第九条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县级三年行动计划由文本、图表以及各种基础资料构成。图纸应包括本辖区山水林田湖草生态保护修复工程试点项目分年度工作部署图，并提供试点项目汇总清单。</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spacing w:before="0" w:beforeLines="0" w:after="0" w:afterLines="0" w:line="600" w:lineRule="exact"/>
        <w:jc w:val="center"/>
        <w:textAlignment w:val="auto"/>
        <w:rPr>
          <w:rFonts w:ascii="黑体" w:hAnsi="黑体" w:eastAsia="黑体" w:cs="黑体"/>
          <w:bCs/>
          <w:color w:val="000000"/>
          <w:sz w:val="32"/>
          <w:szCs w:val="32"/>
        </w:rPr>
      </w:pPr>
      <w:r>
        <w:rPr>
          <w:rFonts w:ascii="黑体" w:hAnsi="黑体" w:eastAsia="黑体" w:cs="黑体"/>
          <w:bCs/>
          <w:color w:val="000000"/>
          <w:sz w:val="32"/>
          <w:szCs w:val="32"/>
        </w:rPr>
        <w:t xml:space="preserve">第三章 </w:t>
      </w:r>
      <w:r>
        <w:rPr>
          <w:rFonts w:hint="eastAsia" w:ascii="黑体" w:hAnsi="黑体" w:eastAsia="黑体" w:cs="黑体"/>
          <w:bCs/>
          <w:color w:val="000000"/>
          <w:sz w:val="32"/>
          <w:szCs w:val="32"/>
          <w:lang w:val="en-US" w:eastAsia="zh-CN"/>
        </w:rPr>
        <w:t xml:space="preserve"> </w:t>
      </w:r>
      <w:r>
        <w:rPr>
          <w:rFonts w:ascii="黑体" w:hAnsi="黑体" w:eastAsia="黑体" w:cs="黑体"/>
          <w:bCs/>
          <w:color w:val="000000"/>
          <w:sz w:val="32"/>
          <w:szCs w:val="32"/>
        </w:rPr>
        <w:t>项目组织实施</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第十条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县领导小组办公室根据批准的县级三年行动计划，</w:t>
      </w:r>
      <w:r>
        <w:rPr>
          <w:rFonts w:hint="eastAsia" w:ascii="Times New Roman" w:hAnsi="Times New Roman" w:eastAsia="仿宋_GB2312" w:cs="Times New Roman"/>
          <w:color w:val="000000"/>
          <w:sz w:val="32"/>
          <w:szCs w:val="32"/>
          <w:lang w:eastAsia="zh-CN"/>
        </w:rPr>
        <w:t>依照有关规定</w:t>
      </w:r>
      <w:r>
        <w:rPr>
          <w:rFonts w:ascii="Times New Roman" w:hAnsi="Times New Roman" w:eastAsia="仿宋_GB2312" w:cs="Times New Roman"/>
          <w:color w:val="000000"/>
          <w:sz w:val="32"/>
          <w:szCs w:val="32"/>
        </w:rPr>
        <w:t>确定子项目承担单位，承担单位根据实际情况，明确子项目的责任单位，责任单位根据国家、省相关规定和各有关部门要求，组织各子项目实施。</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一</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责任单位必须严格按照经审批的县级</w:t>
      </w:r>
      <w:r>
        <w:rPr>
          <w:rFonts w:hint="eastAsia" w:ascii="Times New Roman" w:hAnsi="Times New Roman" w:eastAsia="仿宋_GB2312" w:cs="Times New Roman"/>
          <w:color w:val="000000"/>
          <w:sz w:val="32"/>
          <w:szCs w:val="32"/>
        </w:rPr>
        <w:t>三年行动计划</w:t>
      </w:r>
      <w:r>
        <w:rPr>
          <w:rFonts w:ascii="Times New Roman" w:hAnsi="Times New Roman" w:eastAsia="仿宋_GB2312" w:cs="Times New Roman"/>
          <w:color w:val="000000"/>
          <w:sz w:val="32"/>
          <w:szCs w:val="32"/>
        </w:rPr>
        <w:t>和年度计划执行。确需变更的，按以下情形处理：</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1．不涉及子项目建设地点、总投资、子项目范围、主要建设内容，不降低</w:t>
      </w:r>
      <w:r>
        <w:rPr>
          <w:rFonts w:hint="eastAsia" w:ascii="Times New Roman" w:hAnsi="Times New Roman" w:eastAsia="仿宋_GB2312" w:cs="Times New Roman"/>
          <w:color w:val="000000"/>
          <w:sz w:val="32"/>
          <w:szCs w:val="32"/>
        </w:rPr>
        <w:t>建设</w:t>
      </w:r>
      <w:r>
        <w:rPr>
          <w:rFonts w:ascii="Times New Roman" w:hAnsi="Times New Roman" w:eastAsia="仿宋_GB2312" w:cs="Times New Roman"/>
          <w:color w:val="000000"/>
          <w:sz w:val="32"/>
          <w:szCs w:val="32"/>
        </w:rPr>
        <w:t>质量，不影响</w:t>
      </w:r>
      <w:r>
        <w:rPr>
          <w:rFonts w:hint="eastAsia" w:ascii="Times New Roman" w:hAnsi="Times New Roman" w:eastAsia="仿宋_GB2312" w:cs="Times New Roman"/>
          <w:color w:val="000000"/>
          <w:sz w:val="32"/>
          <w:szCs w:val="32"/>
        </w:rPr>
        <w:t>建设标准和</w:t>
      </w:r>
      <w:r>
        <w:rPr>
          <w:rFonts w:ascii="Times New Roman" w:hAnsi="Times New Roman" w:eastAsia="仿宋_GB2312" w:cs="Times New Roman"/>
          <w:color w:val="000000"/>
          <w:sz w:val="32"/>
          <w:szCs w:val="32"/>
        </w:rPr>
        <w:t>工程功能的一般性变更，由原子项目立项部门批准。</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2．涉及子项目建设地点、总投资、子项目范围、主要建设内容</w:t>
      </w:r>
      <w:r>
        <w:rPr>
          <w:rFonts w:hint="eastAsia" w:ascii="Times New Roman" w:hAnsi="Times New Roman" w:eastAsia="仿宋_GB2312" w:cs="Times New Roman"/>
          <w:color w:val="000000"/>
          <w:sz w:val="32"/>
          <w:szCs w:val="32"/>
        </w:rPr>
        <w:t>，降低建设质量，</w:t>
      </w:r>
      <w:r>
        <w:rPr>
          <w:rFonts w:ascii="Times New Roman" w:hAnsi="Times New Roman" w:eastAsia="仿宋_GB2312" w:cs="Times New Roman"/>
          <w:color w:val="000000"/>
          <w:sz w:val="32"/>
          <w:szCs w:val="32"/>
        </w:rPr>
        <w:t>影响建设标准和工程功能的重大变更，实施环境和条件重大变化的，应按照工程目标不降低的原则调整县级</w:t>
      </w:r>
      <w:r>
        <w:rPr>
          <w:rFonts w:hint="eastAsia" w:ascii="Times New Roman" w:hAnsi="Times New Roman" w:eastAsia="仿宋_GB2312" w:cs="Times New Roman"/>
          <w:color w:val="000000"/>
          <w:sz w:val="32"/>
          <w:szCs w:val="32"/>
        </w:rPr>
        <w:t>三年行动计划</w:t>
      </w:r>
      <w:r>
        <w:rPr>
          <w:rFonts w:ascii="Times New Roman" w:hAnsi="Times New Roman" w:eastAsia="仿宋_GB2312" w:cs="Times New Roman"/>
          <w:color w:val="000000"/>
          <w:sz w:val="32"/>
          <w:szCs w:val="32"/>
        </w:rPr>
        <w:t>，按规定程序，报市级领导小组办公室审查</w:t>
      </w:r>
      <w:r>
        <w:rPr>
          <w:rFonts w:hint="eastAsia" w:ascii="Times New Roman" w:hAnsi="Times New Roman" w:eastAsia="仿宋_GB2312" w:cs="Times New Roman"/>
          <w:color w:val="000000"/>
          <w:sz w:val="32"/>
          <w:szCs w:val="32"/>
        </w:rPr>
        <w:t>同意后</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报省自然资源厅备案</w:t>
      </w:r>
      <w:r>
        <w:rPr>
          <w:rFonts w:ascii="Times New Roman" w:hAnsi="Times New Roman" w:eastAsia="仿宋_GB2312" w:cs="Times New Roman"/>
          <w:color w:val="000000"/>
          <w:sz w:val="32"/>
          <w:szCs w:val="32"/>
        </w:rPr>
        <w:t>。</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二</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试点项目建设要因地制宜，突出整体性和系统性的特点。鼓励采取新实用技术、新施工方式，总结推广成功经验，提高工程建设效益。</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三</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试点项目监管实行月报工作统计上报制和重大问题及时报告制。每月20日前，县级领导小组办公室将子项目进展情况统计（附表）上报；各地出现重大问题随时向省联络员办公室报告。</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四</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子项目建成后，子项目区所在县（市）、乡（镇）政府按照“谁受益，谁负责”的原则和国家有关政策，明确管护责任主体，做好后期管护和经费保障，确保工程长期发挥效益。跨县域子项目在上一级领导小组协调下明确</w:t>
      </w:r>
      <w:r>
        <w:rPr>
          <w:rFonts w:hint="eastAsia" w:ascii="Times New Roman" w:hAnsi="Times New Roman" w:eastAsia="仿宋_GB2312" w:cs="Times New Roman"/>
          <w:color w:val="000000"/>
          <w:sz w:val="32"/>
          <w:szCs w:val="32"/>
        </w:rPr>
        <w:t>经费保障的具体制度、具体的负责单位以及具体负责人</w:t>
      </w:r>
      <w:r>
        <w:rPr>
          <w:rFonts w:ascii="Times New Roman" w:hAnsi="Times New Roman" w:eastAsia="仿宋_GB2312" w:cs="Times New Roman"/>
          <w:color w:val="000000"/>
          <w:sz w:val="32"/>
          <w:szCs w:val="32"/>
        </w:rPr>
        <w:t>。</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spacing w:before="0" w:beforeLines="0" w:after="0" w:afterLines="0" w:line="600" w:lineRule="exact"/>
        <w:jc w:val="center"/>
        <w:textAlignment w:val="auto"/>
        <w:rPr>
          <w:rFonts w:ascii="黑体" w:hAnsi="黑体" w:eastAsia="黑体" w:cs="黑体"/>
          <w:bCs/>
          <w:color w:val="000000"/>
          <w:sz w:val="32"/>
          <w:szCs w:val="32"/>
        </w:rPr>
      </w:pPr>
      <w:r>
        <w:rPr>
          <w:rFonts w:ascii="黑体" w:hAnsi="黑体" w:eastAsia="黑体" w:cs="黑体"/>
          <w:bCs/>
          <w:color w:val="000000"/>
          <w:sz w:val="32"/>
          <w:szCs w:val="32"/>
        </w:rPr>
        <w:t xml:space="preserve">第四章 </w:t>
      </w:r>
      <w:r>
        <w:rPr>
          <w:rFonts w:hint="eastAsia" w:ascii="黑体" w:hAnsi="黑体" w:eastAsia="黑体" w:cs="黑体"/>
          <w:bCs/>
          <w:color w:val="000000"/>
          <w:sz w:val="32"/>
          <w:szCs w:val="32"/>
          <w:lang w:val="en-US" w:eastAsia="zh-CN"/>
        </w:rPr>
        <w:t xml:space="preserve"> </w:t>
      </w:r>
      <w:r>
        <w:rPr>
          <w:rFonts w:ascii="黑体" w:hAnsi="黑体" w:eastAsia="黑体" w:cs="黑体"/>
          <w:bCs/>
          <w:color w:val="000000"/>
          <w:sz w:val="32"/>
          <w:szCs w:val="32"/>
        </w:rPr>
        <w:t>项目整体验收和绩效评价</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五</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子项目完成后，子项目承担单位应按照有关程序和标准规范进行子项目验收。</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六</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全部子项目验收完成后，县级领导小组办公室组织相关部门人员及具有高级职称的5</w:t>
      </w:r>
      <w:r>
        <w:rPr>
          <w:rFonts w:hint="eastAsia"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7名相关专业技术人员（每类工程至少1名专家）进行本辖区试点项目的初步验收。重点对本辖区试点项目质量、过程资料的完整性进行检视、核验。初步验收应形成初步验收意见书，需整改的，要明确提出整改意见。</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七</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县级领导小组办公室对本辖区试点项目进行初步验收的主要内容如下：</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子项目承担单位出具的子项目验收报告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责任单位及设计、施工、监理等单位出具的子项目建设情况自验报告，明确子项目建设任务及投资是否按设计完成</w:t>
      </w:r>
      <w:r>
        <w:rPr>
          <w:rFonts w:hint="eastAsia" w:ascii="Times New Roman" w:hAnsi="Times New Roman" w:eastAsia="仿宋_GB2312" w:cs="Times New Roman"/>
          <w:color w:val="000000"/>
          <w:sz w:val="32"/>
          <w:szCs w:val="32"/>
        </w:rPr>
        <w:t>；</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各项建设内容是否符合设计要求，达到建设标准；</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left="64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试点项目工程绩效指标是否达到预设目标</w:t>
      </w:r>
      <w:r>
        <w:rPr>
          <w:rFonts w:hint="eastAsia" w:ascii="Times New Roman" w:hAnsi="Times New Roman" w:eastAsia="仿宋_GB2312" w:cs="Times New Roman"/>
          <w:color w:val="000000"/>
          <w:sz w:val="32"/>
          <w:szCs w:val="32"/>
        </w:rPr>
        <w:t>；</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4．资金是否足额到位，使用是否符合资金管理要求；</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5．档案资料是否齐全。</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第十</w:t>
      </w:r>
      <w:r>
        <w:rPr>
          <w:rFonts w:hint="eastAsia" w:ascii="Times New Roman" w:hAnsi="Times New Roman" w:eastAsia="仿宋_GB2312" w:cs="Times New Roman"/>
          <w:b/>
          <w:color w:val="000000"/>
          <w:sz w:val="32"/>
          <w:szCs w:val="32"/>
        </w:rPr>
        <w:t>八</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试点项目初步验收通过后，县级领导小组办公室向市级领导小组办公室提交复核验收申请。复核验收组由市级领导小组办公室抽调相关部门人员及具有高级职称的5-7名相关专业技术人员（每类工程至少1名专家</w:t>
      </w:r>
      <w:r>
        <w:rPr>
          <w:rFonts w:hint="eastAsia" w:ascii="Times New Roman" w:hAnsi="Times New Roman" w:eastAsia="仿宋_GB2312" w:cs="Times New Roman"/>
          <w:color w:val="000000"/>
          <w:sz w:val="32"/>
          <w:szCs w:val="32"/>
        </w:rPr>
        <w:t>，且保证未参与同一项目从立项至验收阶段的任何评审</w:t>
      </w:r>
      <w:r>
        <w:rPr>
          <w:rFonts w:ascii="Times New Roman" w:hAnsi="Times New Roman" w:eastAsia="仿宋_GB2312" w:cs="Times New Roman"/>
          <w:color w:val="000000"/>
          <w:sz w:val="32"/>
          <w:szCs w:val="32"/>
        </w:rPr>
        <w:t>）组成。本辖区试点项目复核验收应形成</w:t>
      </w:r>
      <w:r>
        <w:rPr>
          <w:rFonts w:hint="eastAsia" w:ascii="Times New Roman" w:hAnsi="Times New Roman" w:eastAsia="仿宋_GB2312" w:cs="Times New Roman"/>
          <w:color w:val="000000"/>
          <w:sz w:val="32"/>
          <w:szCs w:val="32"/>
        </w:rPr>
        <w:t>复核</w:t>
      </w:r>
      <w:r>
        <w:rPr>
          <w:rFonts w:ascii="Times New Roman" w:hAnsi="Times New Roman" w:eastAsia="仿宋_GB2312" w:cs="Times New Roman"/>
          <w:color w:val="000000"/>
          <w:sz w:val="32"/>
          <w:szCs w:val="32"/>
        </w:rPr>
        <w:t>验收意见书，需整改的，要明确提出整改意见。</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w:t>
      </w:r>
      <w:r>
        <w:rPr>
          <w:rFonts w:hint="eastAsia" w:ascii="Times New Roman" w:hAnsi="Times New Roman" w:eastAsia="仿宋_GB2312" w:cs="Times New Roman"/>
          <w:b/>
          <w:color w:val="000000"/>
          <w:sz w:val="32"/>
          <w:szCs w:val="32"/>
        </w:rPr>
        <w:t>十九</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复核验收时，县级领导小组办公室应提供本辖区试点项目复核验收纸质及电子资料：</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1．试点项目复核验收申请和总结报告；</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2．试点项目初步验收意见及整改落实情况报告；</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3．子项目现状图、设计图、竣工图和相关数据表，以及子项目前后对比影像；</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4．经审计的子项目竣工财务决算报告；</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5．子项目后期管护落实情况相关资料；</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6．县级</w:t>
      </w:r>
      <w:r>
        <w:rPr>
          <w:rFonts w:hint="eastAsia" w:ascii="Times New Roman" w:hAnsi="Times New Roman" w:eastAsia="仿宋_GB2312" w:cs="Times New Roman"/>
          <w:color w:val="000000"/>
          <w:sz w:val="32"/>
          <w:szCs w:val="32"/>
        </w:rPr>
        <w:t>三年行动计划</w:t>
      </w:r>
      <w:r>
        <w:rPr>
          <w:rFonts w:ascii="Times New Roman" w:hAnsi="Times New Roman" w:eastAsia="仿宋_GB2312" w:cs="Times New Roman"/>
          <w:color w:val="000000"/>
          <w:sz w:val="32"/>
          <w:szCs w:val="32"/>
        </w:rPr>
        <w:t>等其他需要提供的资料。</w:t>
      </w:r>
    </w:p>
    <w:p>
      <w:pPr>
        <w:pStyle w:val="2"/>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hint="eastAsia" w:ascii="仿宋_GB2312" w:hAnsi="仿宋_GB2312" w:eastAsia="仿宋_GB2312" w:cs="仿宋_GB2312"/>
          <w:color w:val="000000"/>
          <w:sz w:val="32"/>
          <w:szCs w:val="32"/>
        </w:rPr>
      </w:pPr>
      <w:r>
        <w:rPr>
          <w:rFonts w:ascii="Times New Roman" w:hAnsi="Times New Roman" w:cs="Times New Roman"/>
          <w:b/>
          <w:color w:val="000000"/>
          <w:sz w:val="32"/>
          <w:szCs w:val="32"/>
        </w:rPr>
        <w:t xml:space="preserve">第二十条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Cs/>
          <w:color w:val="000000"/>
          <w:sz w:val="32"/>
          <w:szCs w:val="32"/>
        </w:rPr>
        <w:t>四县（市）所有试点项目通过县级初验、市级复核验收后，市级领导小组办公室向省自然资源厅提出整体验收申请，提交初验、复验意见以及第十九条规定的材料。省自然资源厅会同省生态环境厅、省财政厅、省水利厅、省农业农村厅、省林业局组织专家对通过复核验收的试点项目进行整体验收（</w:t>
      </w:r>
      <w:r>
        <w:rPr>
          <w:rFonts w:hint="eastAsia" w:ascii="仿宋_GB2312" w:hAnsi="仿宋_GB2312" w:eastAsia="仿宋_GB2312" w:cs="仿宋_GB2312"/>
          <w:color w:val="000000"/>
          <w:sz w:val="32"/>
          <w:szCs w:val="32"/>
        </w:rPr>
        <w:t>保证</w:t>
      </w:r>
      <w:r>
        <w:rPr>
          <w:rFonts w:hint="eastAsia" w:ascii="仿宋_GB2312" w:hAnsi="仿宋_GB2312" w:eastAsia="仿宋_GB2312" w:cs="仿宋_GB2312"/>
          <w:bCs/>
          <w:color w:val="000000"/>
          <w:sz w:val="32"/>
          <w:szCs w:val="32"/>
        </w:rPr>
        <w:t>所抽调专家未参与同一项目从立项至市级复核验收阶段的任何评审），重点对试点项目范围、工程量、资金使用、创新机制、亮点特色，以及取得成效等内容进行复核、验收和认定，形成整体验收报告。</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eastAsia"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第二十</w:t>
      </w:r>
      <w:r>
        <w:rPr>
          <w:rFonts w:hint="eastAsia" w:ascii="Times New Roman" w:hAnsi="Times New Roman" w:eastAsia="仿宋_GB2312" w:cs="Times New Roman"/>
          <w:b/>
          <w:color w:val="000000"/>
          <w:sz w:val="32"/>
          <w:szCs w:val="32"/>
        </w:rPr>
        <w:t>一</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试点项目实行绩效评价制度。</w:t>
      </w:r>
      <w:r>
        <w:rPr>
          <w:rFonts w:hint="eastAsia" w:ascii="Times New Roman" w:hAnsi="Times New Roman" w:eastAsia="仿宋_GB2312" w:cs="Times New Roman"/>
          <w:color w:val="000000"/>
          <w:sz w:val="32"/>
          <w:szCs w:val="32"/>
          <w:highlight w:val="none"/>
        </w:rPr>
        <w:t>绩效评价主要内容为工程实施方案的目标任务完成情况，包括自然资源保护利用、生态环境治理改善情况、生态系统服务功能提升情况，以及工程所取得经济效益、社会效益等。</w:t>
      </w:r>
      <w:r>
        <w:rPr>
          <w:rFonts w:ascii="Times New Roman" w:hAnsi="Times New Roman" w:eastAsia="仿宋_GB2312" w:cs="Times New Roman"/>
          <w:color w:val="000000"/>
          <w:sz w:val="32"/>
          <w:szCs w:val="32"/>
        </w:rPr>
        <w:t>试点项目完成后，所在县（市）对本辖区试点项目实施情况进行自评，省自然资源厅</w:t>
      </w:r>
      <w:r>
        <w:rPr>
          <w:rFonts w:hint="eastAsia" w:ascii="Times New Roman" w:hAnsi="Times New Roman" w:eastAsia="仿宋_GB2312" w:cs="Times New Roman"/>
          <w:color w:val="000000"/>
          <w:sz w:val="32"/>
          <w:szCs w:val="32"/>
        </w:rPr>
        <w:t>会同</w:t>
      </w:r>
      <w:r>
        <w:rPr>
          <w:rFonts w:ascii="Times New Roman" w:hAnsi="Times New Roman" w:eastAsia="仿宋_GB2312" w:cs="Times New Roman"/>
          <w:color w:val="000000"/>
          <w:sz w:val="32"/>
          <w:szCs w:val="32"/>
        </w:rPr>
        <w:t>省财政厅</w:t>
      </w:r>
      <w:r>
        <w:rPr>
          <w:rFonts w:hint="eastAsia" w:ascii="Times New Roman" w:hAnsi="Times New Roman" w:eastAsia="仿宋_GB2312" w:cs="Times New Roman"/>
          <w:color w:val="000000"/>
          <w:sz w:val="32"/>
          <w:szCs w:val="32"/>
        </w:rPr>
        <w:t>、省生态环境厅等单位</w:t>
      </w:r>
      <w:r>
        <w:rPr>
          <w:rFonts w:ascii="Times New Roman" w:hAnsi="Times New Roman" w:eastAsia="仿宋_GB2312" w:cs="Times New Roman"/>
          <w:color w:val="000000"/>
          <w:sz w:val="32"/>
          <w:szCs w:val="32"/>
        </w:rPr>
        <w:t>对试点项目进行绩效评价，并作为后续中央资金安排的重要依据。</w:t>
      </w:r>
      <w:r>
        <w:rPr>
          <w:rFonts w:hint="eastAsia" w:ascii="Times New Roman" w:hAnsi="Times New Roman" w:eastAsia="仿宋_GB2312" w:cs="Times New Roman"/>
          <w:color w:val="000000"/>
          <w:sz w:val="32"/>
          <w:szCs w:val="32"/>
        </w:rPr>
        <w:t>绩效评价指标及评价办法由相关主管部门另行制定。</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spacing w:before="0" w:beforeLines="0" w:after="0" w:afterLines="0" w:line="600" w:lineRule="exact"/>
        <w:jc w:val="center"/>
        <w:textAlignment w:val="auto"/>
        <w:rPr>
          <w:rFonts w:ascii="黑体" w:hAnsi="黑体" w:eastAsia="黑体" w:cs="黑体"/>
          <w:bCs/>
          <w:color w:val="000000"/>
          <w:sz w:val="32"/>
          <w:szCs w:val="32"/>
        </w:rPr>
      </w:pPr>
      <w:r>
        <w:rPr>
          <w:rFonts w:ascii="黑体" w:hAnsi="黑体" w:eastAsia="黑体" w:cs="黑体"/>
          <w:bCs/>
          <w:color w:val="000000"/>
          <w:sz w:val="32"/>
          <w:szCs w:val="32"/>
        </w:rPr>
        <w:t xml:space="preserve">第五章 </w:t>
      </w:r>
      <w:r>
        <w:rPr>
          <w:rFonts w:hint="eastAsia" w:ascii="黑体" w:hAnsi="黑体" w:eastAsia="黑体" w:cs="黑体"/>
          <w:bCs/>
          <w:color w:val="000000"/>
          <w:sz w:val="32"/>
          <w:szCs w:val="32"/>
          <w:lang w:val="en-US" w:eastAsia="zh-CN"/>
        </w:rPr>
        <w:t xml:space="preserve"> </w:t>
      </w:r>
      <w:r>
        <w:rPr>
          <w:rFonts w:ascii="黑体" w:hAnsi="黑体" w:eastAsia="黑体" w:cs="黑体"/>
          <w:bCs/>
          <w:color w:val="000000"/>
          <w:sz w:val="32"/>
          <w:szCs w:val="32"/>
        </w:rPr>
        <w:t>档案管理</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第二十</w:t>
      </w:r>
      <w:r>
        <w:rPr>
          <w:rFonts w:hint="eastAsia" w:ascii="Times New Roman" w:hAnsi="Times New Roman" w:eastAsia="仿宋_GB2312" w:cs="Times New Roman"/>
          <w:b/>
          <w:color w:val="000000"/>
          <w:sz w:val="32"/>
          <w:szCs w:val="32"/>
        </w:rPr>
        <w:t>二</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加强试点项目档案管理。试点项目档案管理由县级领导小组办公室负责，从基本文件资料、设计资料、监理资料、招投标资料、施工资料、建设管理资料、财务资料和竣工资料、施工前后对比图片资料等九个方面对内业资料分类进行收集、整理、归档、保管，保持档案的真实性、连续性和完整性。</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第二十</w:t>
      </w:r>
      <w:r>
        <w:rPr>
          <w:rFonts w:hint="eastAsia" w:ascii="Times New Roman" w:hAnsi="Times New Roman" w:eastAsia="仿宋_GB2312" w:cs="Times New Roman"/>
          <w:b/>
          <w:color w:val="000000"/>
          <w:sz w:val="32"/>
          <w:szCs w:val="32"/>
        </w:rPr>
        <w:t>三</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建立试点项目数据库。由省自然资源厅负责构建系统数据库，县级领导小组办公室及时按要求在系统中填报本辖区试点项目基本信息。基本信息包括基本情况、建设内容、投资总额、资金构成、治理成效、管护制度等在内的图文资料数据。</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spacing w:before="0" w:beforeLines="0" w:after="0" w:afterLines="0" w:line="600" w:lineRule="exact"/>
        <w:jc w:val="center"/>
        <w:textAlignment w:val="auto"/>
        <w:rPr>
          <w:rFonts w:ascii="黑体" w:hAnsi="黑体" w:eastAsia="黑体" w:cs="黑体"/>
          <w:bCs/>
          <w:color w:val="000000"/>
          <w:sz w:val="32"/>
          <w:szCs w:val="32"/>
        </w:rPr>
      </w:pPr>
      <w:r>
        <w:rPr>
          <w:rFonts w:ascii="黑体" w:hAnsi="黑体" w:eastAsia="黑体" w:cs="黑体"/>
          <w:bCs/>
          <w:color w:val="000000"/>
          <w:sz w:val="32"/>
          <w:szCs w:val="32"/>
        </w:rPr>
        <w:t xml:space="preserve">第六章 </w:t>
      </w:r>
      <w:r>
        <w:rPr>
          <w:rFonts w:hint="eastAsia" w:ascii="黑体" w:hAnsi="黑体" w:eastAsia="黑体" w:cs="黑体"/>
          <w:bCs/>
          <w:color w:val="000000"/>
          <w:sz w:val="32"/>
          <w:szCs w:val="32"/>
          <w:lang w:val="en-US" w:eastAsia="zh-CN"/>
        </w:rPr>
        <w:t xml:space="preserve"> </w:t>
      </w:r>
      <w:r>
        <w:rPr>
          <w:rFonts w:ascii="黑体" w:hAnsi="黑体" w:eastAsia="黑体" w:cs="黑体"/>
          <w:bCs/>
          <w:color w:val="000000"/>
          <w:sz w:val="32"/>
          <w:szCs w:val="32"/>
        </w:rPr>
        <w:t>监督检查</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第二十</w:t>
      </w:r>
      <w:r>
        <w:rPr>
          <w:rFonts w:hint="eastAsia" w:ascii="Times New Roman" w:hAnsi="Times New Roman" w:eastAsia="仿宋_GB2312" w:cs="Times New Roman"/>
          <w:b/>
          <w:color w:val="000000"/>
          <w:sz w:val="32"/>
          <w:szCs w:val="32"/>
        </w:rPr>
        <w:t>四</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市、县（市）领导小组应组织各有关部门加强本辖区试点项目建设的日常监管和监督检查，</w:t>
      </w:r>
      <w:r>
        <w:rPr>
          <w:rFonts w:hint="eastAsia" w:ascii="Times New Roman" w:hAnsi="Times New Roman" w:eastAsia="仿宋_GB2312" w:cs="Times New Roman"/>
          <w:color w:val="000000"/>
          <w:sz w:val="32"/>
          <w:szCs w:val="32"/>
        </w:rPr>
        <w:t>省通过建立信息平台实行天、空、地一体化监管，</w:t>
      </w:r>
      <w:r>
        <w:rPr>
          <w:rFonts w:ascii="Times New Roman" w:hAnsi="Times New Roman" w:eastAsia="仿宋_GB2312" w:cs="Times New Roman"/>
          <w:color w:val="000000"/>
          <w:sz w:val="32"/>
          <w:szCs w:val="32"/>
        </w:rPr>
        <w:t>省联络员办公室根据试点项目进度情况进行不定期抽查。监督管理工作主要内容为：</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1．试点项目管理情况：试点项目有关制度制定和执行情况，包括项目法人制</w:t>
      </w:r>
      <w:r>
        <w:rPr>
          <w:rFonts w:hint="eastAsia" w:ascii="Times New Roman" w:hAnsi="Times New Roman" w:eastAsia="仿宋_GB2312" w:cs="Times New Roman"/>
          <w:color w:val="000000"/>
          <w:sz w:val="32"/>
          <w:szCs w:val="32"/>
        </w:rPr>
        <w:t>度</w:t>
      </w:r>
      <w:r>
        <w:rPr>
          <w:rFonts w:ascii="Times New Roman" w:hAnsi="Times New Roman" w:eastAsia="仿宋_GB2312" w:cs="Times New Roman"/>
          <w:color w:val="000000"/>
          <w:sz w:val="32"/>
          <w:szCs w:val="32"/>
        </w:rPr>
        <w:t xml:space="preserve">、公告制度、招投标制度、合同管理制度、监理制度等执行情况，以及本辖区试点项目资料整理情况； </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2．试点项目实施情况：包括试点项目施工进度、工程质量和竣工验收等； </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3．试点项目资金情况：中央和地方配套资金的拨付和使用情况。包括支出内容和标准、财务核算、节余资金处置等；</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4．试点项目后期管护、绩效考核等。</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第二十</w:t>
      </w:r>
      <w:r>
        <w:rPr>
          <w:rFonts w:hint="eastAsia" w:ascii="Times New Roman" w:hAnsi="Times New Roman" w:eastAsia="仿宋_GB2312" w:cs="Times New Roman"/>
          <w:b/>
          <w:color w:val="000000"/>
          <w:sz w:val="32"/>
          <w:szCs w:val="32"/>
        </w:rPr>
        <w:t>五</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试点项目实施定期通报制度。省级每</w:t>
      </w:r>
      <w:r>
        <w:rPr>
          <w:rFonts w:hint="eastAsia" w:ascii="Times New Roman" w:hAnsi="Times New Roman" w:eastAsia="仿宋_GB2312" w:cs="Times New Roman"/>
          <w:color w:val="000000"/>
          <w:sz w:val="32"/>
          <w:szCs w:val="32"/>
        </w:rPr>
        <w:t>季度</w:t>
      </w:r>
      <w:r>
        <w:rPr>
          <w:rFonts w:ascii="Times New Roman" w:hAnsi="Times New Roman" w:eastAsia="仿宋_GB2312" w:cs="Times New Roman"/>
          <w:color w:val="000000"/>
          <w:sz w:val="32"/>
          <w:szCs w:val="32"/>
        </w:rPr>
        <w:t>召开一次例会，会上对各地试点项目建设进展、工程质量、资金使用等情况进行通报。</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第二十</w:t>
      </w:r>
      <w:r>
        <w:rPr>
          <w:rFonts w:hint="eastAsia" w:ascii="Times New Roman" w:hAnsi="Times New Roman" w:eastAsia="仿宋_GB2312" w:cs="Times New Roman"/>
          <w:b/>
          <w:color w:val="000000"/>
          <w:sz w:val="32"/>
          <w:szCs w:val="32"/>
        </w:rPr>
        <w:t>六</w:t>
      </w:r>
      <w:r>
        <w:rPr>
          <w:rFonts w:ascii="Times New Roman" w:hAnsi="Times New Roman" w:eastAsia="仿宋_GB2312" w:cs="Times New Roman"/>
          <w:b/>
          <w:color w:val="000000"/>
          <w:sz w:val="32"/>
          <w:szCs w:val="32"/>
        </w:rPr>
        <w:t xml:space="preserve">条 </w:t>
      </w:r>
      <w:r>
        <w:rPr>
          <w:rFonts w:hint="eastAsia" w:ascii="Times New Roman" w:hAnsi="Times New Roman" w:eastAsia="仿宋_GB2312" w:cs="Times New Roman"/>
          <w:b/>
          <w:color w:val="000000"/>
          <w:sz w:val="32"/>
          <w:szCs w:val="32"/>
          <w:lang w:val="en-US" w:eastAsia="zh-CN"/>
        </w:rPr>
        <w:t xml:space="preserve"> </w:t>
      </w:r>
      <w:r>
        <w:rPr>
          <w:rFonts w:ascii="Times New Roman" w:hAnsi="Times New Roman" w:eastAsia="仿宋_GB2312" w:cs="Times New Roman"/>
          <w:color w:val="000000"/>
          <w:sz w:val="32"/>
          <w:szCs w:val="32"/>
        </w:rPr>
        <w:t>四县（市）和子项目建设单位应主动接受纪检监察和审计部门的监督检查。</w:t>
      </w:r>
    </w:p>
    <w:p>
      <w:pPr>
        <w:pStyle w:val="3"/>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违反规定截留、挤占、挪用、虚报投资骗取财政补助资金等违规违法行为，严格按照《财政违法行为处罚处分条例》等有关规定进行处罚；涉嫌犯罪的，移交司法机关处理。</w:t>
      </w:r>
    </w:p>
    <w:p>
      <w:pPr>
        <w:pStyle w:val="3"/>
        <w:keepNext w:val="0"/>
        <w:keepLines w:val="0"/>
        <w:pageBreakBefore w:val="0"/>
        <w:widowControl w:val="0"/>
        <w:kinsoku/>
        <w:wordWrap/>
        <w:overflowPunct/>
        <w:topLinePunct w:val="0"/>
        <w:autoSpaceDE/>
        <w:autoSpaceDN/>
        <w:bidi w:val="0"/>
        <w:adjustRightInd/>
        <w:spacing w:before="0" w:beforeLines="0" w:after="0" w:afterLines="0" w:line="600" w:lineRule="exact"/>
        <w:jc w:val="center"/>
        <w:textAlignment w:val="auto"/>
        <w:rPr>
          <w:rFonts w:hint="eastAsia" w:ascii="黑体" w:hAnsi="黑体" w:eastAsia="黑体" w:cs="黑体"/>
          <w:bCs/>
          <w:color w:val="000000"/>
          <w:sz w:val="32"/>
          <w:szCs w:val="32"/>
        </w:rPr>
      </w:pPr>
    </w:p>
    <w:p>
      <w:pPr>
        <w:pStyle w:val="3"/>
        <w:keepNext w:val="0"/>
        <w:keepLines w:val="0"/>
        <w:pageBreakBefore w:val="0"/>
        <w:widowControl w:val="0"/>
        <w:kinsoku/>
        <w:wordWrap/>
        <w:overflowPunct/>
        <w:topLinePunct w:val="0"/>
        <w:autoSpaceDE/>
        <w:autoSpaceDN/>
        <w:bidi w:val="0"/>
        <w:adjustRightInd/>
        <w:spacing w:before="0" w:beforeLines="0" w:after="0" w:afterLines="0" w:line="600" w:lineRule="exact"/>
        <w:jc w:val="center"/>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 xml:space="preserve">第七章 </w:t>
      </w:r>
      <w:r>
        <w:rPr>
          <w:rFonts w:hint="eastAsia" w:ascii="黑体" w:hAnsi="黑体" w:eastAsia="黑体" w:cs="黑体"/>
          <w:bCs/>
          <w:color w:val="000000"/>
          <w:sz w:val="32"/>
          <w:szCs w:val="32"/>
          <w:lang w:val="en-US" w:eastAsia="zh-CN"/>
        </w:rPr>
        <w:t xml:space="preserve"> </w:t>
      </w:r>
      <w:r>
        <w:rPr>
          <w:rFonts w:hint="eastAsia" w:ascii="黑体" w:hAnsi="黑体" w:eastAsia="黑体" w:cs="黑体"/>
          <w:bCs/>
          <w:color w:val="000000"/>
          <w:sz w:val="32"/>
          <w:szCs w:val="32"/>
        </w:rPr>
        <w:t>附则</w:t>
      </w:r>
    </w:p>
    <w:p>
      <w:pPr>
        <w:pStyle w:val="2"/>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rPr>
        <w:t>第二十七条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法律法规对生态保护修复工程项目另有规定的，从其规定。</w:t>
      </w:r>
    </w:p>
    <w:p>
      <w:pPr>
        <w:keepNext w:val="0"/>
        <w:keepLines w:val="0"/>
        <w:pageBreakBefore w:val="0"/>
        <w:widowControl w:val="0"/>
        <w:kinsoku/>
        <w:wordWrap/>
        <w:overflowPunct/>
        <w:topLinePunct w:val="0"/>
        <w:autoSpaceDE/>
        <w:autoSpaceDN/>
        <w:bidi w:val="0"/>
        <w:adjustRightInd/>
        <w:spacing w:beforeLines="0" w:afterLines="0" w:line="600" w:lineRule="exact"/>
        <w:ind w:firstLine="643"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rPr>
        <w:t>第二十八条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本规定自</w:t>
      </w:r>
      <w:r>
        <w:rPr>
          <w:rFonts w:hint="default" w:ascii="Times New Roman" w:hAnsi="Times New Roman" w:eastAsia="仿宋_GB2312" w:cs="Times New Roman"/>
          <w:color w:val="000000"/>
          <w:sz w:val="32"/>
          <w:szCs w:val="32"/>
          <w:lang w:val="en-US" w:eastAsia="zh-CN"/>
        </w:rPr>
        <w:t>2020年</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月1日</w:t>
      </w:r>
      <w:r>
        <w:rPr>
          <w:rFonts w:hint="default" w:ascii="Times New Roman" w:hAnsi="Times New Roman" w:eastAsia="仿宋_GB2312" w:cs="Times New Roman"/>
          <w:color w:val="000000"/>
          <w:sz w:val="32"/>
          <w:szCs w:val="32"/>
        </w:rPr>
        <w:t>起实施</w:t>
      </w:r>
      <w:r>
        <w:rPr>
          <w:rFonts w:hint="default" w:ascii="Times New Roman" w:hAnsi="Times New Roman" w:eastAsia="仿宋_GB2312" w:cs="Times New Roman"/>
          <w:color w:val="000000"/>
          <w:sz w:val="32"/>
          <w:szCs w:val="32"/>
          <w:lang w:eastAsia="zh-CN"/>
        </w:rPr>
        <w:t>，适用于试点期间。</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p>
    <w:p>
      <w:pPr>
        <w:rPr>
          <w:rFonts w:ascii="黑体" w:hAnsi="黑体" w:eastAsia="黑体" w:cs="Times New Roman"/>
          <w:color w:val="000000"/>
        </w:rPr>
        <w:sectPr>
          <w:headerReference r:id="rId3" w:type="default"/>
          <w:footerReference r:id="rId4" w:type="default"/>
          <w:pgSz w:w="11906" w:h="16838"/>
          <w:pgMar w:top="1440" w:right="1797" w:bottom="1440" w:left="1797" w:header="851" w:footer="992" w:gutter="0"/>
          <w:cols w:space="720" w:num="1"/>
          <w:rtlGutter w:val="0"/>
          <w:docGrid w:type="lines" w:linePitch="312" w:charSpace="0"/>
        </w:sectPr>
      </w:pPr>
    </w:p>
    <w:p>
      <w:pPr>
        <w:rPr>
          <w:rFonts w:ascii="黑体" w:hAnsi="黑体" w:eastAsia="黑体" w:cs="Times New Roman"/>
          <w:color w:val="000000"/>
          <w:sz w:val="32"/>
          <w:szCs w:val="32"/>
        </w:rPr>
      </w:pPr>
      <w:r>
        <w:rPr>
          <w:rFonts w:ascii="黑体" w:hAnsi="黑体" w:eastAsia="黑体" w:cs="Times New Roman"/>
          <w:color w:val="000000"/>
          <w:sz w:val="32"/>
          <w:szCs w:val="32"/>
        </w:rPr>
        <w:t>附表</w:t>
      </w:r>
    </w:p>
    <w:tbl>
      <w:tblPr>
        <w:tblStyle w:val="5"/>
        <w:tblW w:w="0" w:type="auto"/>
        <w:jc w:val="center"/>
        <w:tblLayout w:type="fixed"/>
        <w:tblCellMar>
          <w:top w:w="0" w:type="dxa"/>
          <w:left w:w="108" w:type="dxa"/>
          <w:bottom w:w="0" w:type="dxa"/>
          <w:right w:w="108" w:type="dxa"/>
        </w:tblCellMar>
      </w:tblPr>
      <w:tblGrid>
        <w:gridCol w:w="598"/>
        <w:gridCol w:w="397"/>
        <w:gridCol w:w="576"/>
        <w:gridCol w:w="576"/>
        <w:gridCol w:w="613"/>
        <w:gridCol w:w="396"/>
        <w:gridCol w:w="396"/>
        <w:gridCol w:w="396"/>
        <w:gridCol w:w="576"/>
        <w:gridCol w:w="57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tblPrEx>
          <w:tblCellMar>
            <w:top w:w="0" w:type="dxa"/>
            <w:left w:w="108" w:type="dxa"/>
            <w:bottom w:w="0" w:type="dxa"/>
            <w:right w:w="108" w:type="dxa"/>
          </w:tblCellMar>
        </w:tblPrEx>
        <w:trPr>
          <w:trHeight w:val="832" w:hRule="atLeast"/>
          <w:jc w:val="center"/>
        </w:trPr>
        <w:tc>
          <w:tcPr>
            <w:tcW w:w="14208" w:type="dxa"/>
            <w:gridSpan w:val="33"/>
            <w:tcBorders>
              <w:top w:val="nil"/>
              <w:left w:val="nil"/>
              <w:bottom w:val="nil"/>
              <w:right w:val="nil"/>
            </w:tcBorders>
            <w:noWrap/>
            <w:vAlign w:val="center"/>
          </w:tcPr>
          <w:p>
            <w:pPr>
              <w:widowControl/>
              <w:ind w:firstLine="480" w:firstLineChars="150"/>
              <w:jc w:val="center"/>
              <w:rPr>
                <w:rFonts w:ascii="方正小标宋简体" w:hAnsi="Times New Roman" w:eastAsia="方正小标宋简体" w:cs="Times New Roman"/>
                <w:color w:val="000000"/>
                <w:kern w:val="0"/>
                <w:sz w:val="30"/>
                <w:szCs w:val="30"/>
              </w:rPr>
            </w:pPr>
            <w:r>
              <w:rPr>
                <w:rFonts w:ascii="Times New Roman" w:hAnsi="Times New Roman" w:cs="Times New Roman"/>
                <w:bCs/>
                <w:color w:val="000000"/>
                <w:kern w:val="0"/>
                <w:sz w:val="32"/>
                <w:szCs w:val="32"/>
                <w:u w:val="single"/>
              </w:rPr>
              <w:t xml:space="preserve"> </w:t>
            </w:r>
            <w:r>
              <w:rPr>
                <w:rFonts w:hint="eastAsia" w:ascii="方正小标宋简体" w:hAnsi="Times New Roman" w:eastAsia="方正小标宋简体" w:cs="Times New Roman"/>
                <w:bCs/>
                <w:color w:val="000000"/>
                <w:kern w:val="0"/>
                <w:sz w:val="32"/>
                <w:szCs w:val="32"/>
                <w:u w:val="single"/>
              </w:rPr>
              <w:t xml:space="preserve">     年   月浙江省钱塘江源头区域山水林田湖草生态保护修复工程试点项目情况统计表</w:t>
            </w:r>
          </w:p>
        </w:tc>
      </w:tr>
      <w:tr>
        <w:tblPrEx>
          <w:tblCellMar>
            <w:top w:w="0" w:type="dxa"/>
            <w:left w:w="108" w:type="dxa"/>
            <w:bottom w:w="0" w:type="dxa"/>
            <w:right w:w="108" w:type="dxa"/>
          </w:tblCellMar>
        </w:tblPrEx>
        <w:trPr>
          <w:trHeight w:val="405" w:hRule="atLeast"/>
          <w:jc w:val="center"/>
        </w:trPr>
        <w:tc>
          <w:tcPr>
            <w:tcW w:w="14208" w:type="dxa"/>
            <w:gridSpan w:val="33"/>
            <w:tcBorders>
              <w:top w:val="nil"/>
              <w:left w:val="nil"/>
              <w:bottom w:val="nil"/>
              <w:right w:val="nil"/>
            </w:tcBorders>
            <w:noWrap/>
            <w:vAlign w:val="center"/>
          </w:tcPr>
          <w:p>
            <w:pPr>
              <w:widowControl/>
              <w:jc w:val="left"/>
              <w:rPr>
                <w:rFonts w:ascii="Times New Roman" w:hAnsi="Times New Roman" w:cs="Times New Roman"/>
                <w:color w:val="000000"/>
                <w:kern w:val="0"/>
                <w:sz w:val="21"/>
                <w:szCs w:val="21"/>
              </w:rPr>
            </w:pPr>
            <w:r>
              <w:rPr>
                <w:rFonts w:ascii="Times New Roman" w:hAnsi="Times New Roman" w:cs="Times New Roman"/>
                <w:bCs/>
                <w:color w:val="000000"/>
                <w:kern w:val="0"/>
                <w:sz w:val="21"/>
                <w:szCs w:val="21"/>
              </w:rPr>
              <w:t>填报单位：（盖章）</w:t>
            </w:r>
          </w:p>
        </w:tc>
      </w:tr>
      <w:tr>
        <w:tblPrEx>
          <w:tblCellMar>
            <w:top w:w="0" w:type="dxa"/>
            <w:left w:w="108" w:type="dxa"/>
            <w:bottom w:w="0" w:type="dxa"/>
            <w:right w:w="108" w:type="dxa"/>
          </w:tblCellMar>
        </w:tblPrEx>
        <w:trPr>
          <w:trHeight w:val="405" w:hRule="atLeast"/>
          <w:jc w:val="center"/>
        </w:trPr>
        <w:tc>
          <w:tcPr>
            <w:tcW w:w="5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序号</w:t>
            </w:r>
          </w:p>
        </w:tc>
        <w:tc>
          <w:tcPr>
            <w:tcW w:w="3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项目名称</w:t>
            </w:r>
          </w:p>
        </w:tc>
        <w:tc>
          <w:tcPr>
            <w:tcW w:w="4501" w:type="dxa"/>
            <w:gridSpan w:val="9"/>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任务完成情况</w:t>
            </w:r>
          </w:p>
        </w:tc>
        <w:tc>
          <w:tcPr>
            <w:tcW w:w="7524" w:type="dxa"/>
            <w:gridSpan w:val="19"/>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资金投入情况</w:t>
            </w:r>
          </w:p>
        </w:tc>
        <w:tc>
          <w:tcPr>
            <w:tcW w:w="3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是否滞后</w:t>
            </w:r>
          </w:p>
        </w:tc>
        <w:tc>
          <w:tcPr>
            <w:tcW w:w="3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滞后原因</w:t>
            </w:r>
          </w:p>
        </w:tc>
        <w:tc>
          <w:tcPr>
            <w:tcW w:w="3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备注</w:t>
            </w:r>
          </w:p>
        </w:tc>
      </w:tr>
      <w:tr>
        <w:tblPrEx>
          <w:tblCellMar>
            <w:top w:w="0" w:type="dxa"/>
            <w:left w:w="108" w:type="dxa"/>
            <w:bottom w:w="0" w:type="dxa"/>
            <w:right w:w="108" w:type="dxa"/>
          </w:tblCellMar>
        </w:tblPrEx>
        <w:trPr>
          <w:trHeight w:val="375" w:hRule="atLeast"/>
          <w:jc w:val="center"/>
        </w:trPr>
        <w:tc>
          <w:tcPr>
            <w:tcW w:w="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176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计划任务</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已立项子项目</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已开工子项目</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已验收子项目</w:t>
            </w:r>
          </w:p>
        </w:tc>
        <w:tc>
          <w:tcPr>
            <w:tcW w:w="154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已验收子项目工程完成情况</w:t>
            </w:r>
          </w:p>
        </w:tc>
        <w:tc>
          <w:tcPr>
            <w:tcW w:w="2772" w:type="dxa"/>
            <w:gridSpan w:val="7"/>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估算总投资（亿元）</w:t>
            </w:r>
          </w:p>
        </w:tc>
        <w:tc>
          <w:tcPr>
            <w:tcW w:w="2376"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到位资金（亿元）</w:t>
            </w:r>
          </w:p>
        </w:tc>
        <w:tc>
          <w:tcPr>
            <w:tcW w:w="2376"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实际完成投资额（亿元）</w:t>
            </w: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r>
      <w:tr>
        <w:tblPrEx>
          <w:tblCellMar>
            <w:top w:w="0" w:type="dxa"/>
            <w:left w:w="108" w:type="dxa"/>
            <w:bottom w:w="0" w:type="dxa"/>
            <w:right w:w="108" w:type="dxa"/>
          </w:tblCellMar>
        </w:tblPrEx>
        <w:trPr>
          <w:trHeight w:val="1135" w:hRule="atLeast"/>
          <w:jc w:val="center"/>
        </w:trPr>
        <w:tc>
          <w:tcPr>
            <w:tcW w:w="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176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154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小计</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中央财政资金</w:t>
            </w:r>
          </w:p>
        </w:tc>
        <w:tc>
          <w:tcPr>
            <w:tcW w:w="1980"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地方配套资金</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小计</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中央财政投入</w:t>
            </w:r>
          </w:p>
        </w:tc>
        <w:tc>
          <w:tcPr>
            <w:tcW w:w="1584"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地方自筹资金</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小计</w:t>
            </w:r>
          </w:p>
        </w:tc>
        <w:tc>
          <w:tcPr>
            <w:tcW w:w="396" w:type="dxa"/>
            <w:vMerge w:val="restart"/>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中央财政投入</w:t>
            </w:r>
          </w:p>
        </w:tc>
        <w:tc>
          <w:tcPr>
            <w:tcW w:w="1584"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地方自筹资金</w:t>
            </w: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r>
      <w:tr>
        <w:tblPrEx>
          <w:tblCellMar>
            <w:top w:w="0" w:type="dxa"/>
            <w:left w:w="108" w:type="dxa"/>
            <w:bottom w:w="0" w:type="dxa"/>
            <w:right w:w="108" w:type="dxa"/>
          </w:tblCellMar>
        </w:tblPrEx>
        <w:trPr>
          <w:trHeight w:val="1265" w:hRule="atLeast"/>
          <w:jc w:val="center"/>
        </w:trPr>
        <w:tc>
          <w:tcPr>
            <w:tcW w:w="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面积（公顷）</w:t>
            </w: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长度（千米）</w:t>
            </w:r>
          </w:p>
        </w:tc>
        <w:tc>
          <w:tcPr>
            <w:tcW w:w="613"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文字描述</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个数</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个数</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个数</w:t>
            </w: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面积（公顷）</w:t>
            </w: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长度（千米）</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文字描述</w:t>
            </w: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小计</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财政资金</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社会资本</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义务人投资</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其他</w:t>
            </w: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财政资金</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社会资本</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义务人投资</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其他</w:t>
            </w: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财政资金</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社会资本</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义务人投资</w:t>
            </w: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r>
              <w:rPr>
                <w:rFonts w:ascii="Times New Roman" w:hAnsi="Times New Roman" w:eastAsia="宋体" w:cs="Times New Roman"/>
                <w:bCs/>
                <w:color w:val="000000"/>
                <w:kern w:val="0"/>
                <w:sz w:val="18"/>
                <w:szCs w:val="18"/>
              </w:rPr>
              <w:t>其他</w:t>
            </w: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bCs/>
                <w:color w:val="000000"/>
                <w:kern w:val="0"/>
                <w:sz w:val="18"/>
                <w:szCs w:val="18"/>
              </w:rPr>
            </w:pPr>
          </w:p>
        </w:tc>
      </w:tr>
      <w:tr>
        <w:tblPrEx>
          <w:tblCellMar>
            <w:top w:w="0" w:type="dxa"/>
            <w:left w:w="108" w:type="dxa"/>
            <w:bottom w:w="0" w:type="dxa"/>
            <w:right w:w="108" w:type="dxa"/>
          </w:tblCellMar>
        </w:tblPrEx>
        <w:trPr>
          <w:trHeight w:val="540"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39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13"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540"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39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13"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540"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39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13"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488" w:hRule="atLeast"/>
          <w:jc w:val="center"/>
        </w:trPr>
        <w:tc>
          <w:tcPr>
            <w:tcW w:w="598"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39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13"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470"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w:t>
            </w:r>
          </w:p>
        </w:tc>
        <w:tc>
          <w:tcPr>
            <w:tcW w:w="39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13"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57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396" w:type="dxa"/>
            <w:tcBorders>
              <w:top w:val="nil"/>
              <w:left w:val="nil"/>
              <w:bottom w:val="single" w:color="auto" w:sz="4" w:space="0"/>
              <w:right w:val="single" w:color="auto" w:sz="4" w:space="0"/>
            </w:tcBorders>
            <w:noWrap/>
            <w:vAlign w:val="center"/>
          </w:tcPr>
          <w:p>
            <w:pPr>
              <w:widowControl/>
              <w:adjustRightInd w:val="0"/>
              <w:snapToGrid w:val="0"/>
              <w:jc w:val="center"/>
              <w:rPr>
                <w:rFonts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127" w:hRule="atLeast"/>
          <w:jc w:val="center"/>
        </w:trPr>
        <w:tc>
          <w:tcPr>
            <w:tcW w:w="59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w:t>
            </w:r>
          </w:p>
        </w:tc>
        <w:tc>
          <w:tcPr>
            <w:tcW w:w="39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1"/>
                <w:szCs w:val="21"/>
              </w:rPr>
            </w:pPr>
          </w:p>
        </w:tc>
        <w:tc>
          <w:tcPr>
            <w:tcW w:w="57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57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61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57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57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c>
          <w:tcPr>
            <w:tcW w:w="39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1"/>
                <w:szCs w:val="21"/>
              </w:rPr>
            </w:pPr>
          </w:p>
        </w:tc>
      </w:tr>
    </w:tbl>
    <w:p>
      <w:pPr>
        <w:spacing w:line="160" w:lineRule="exact"/>
        <w:rPr>
          <w:color w:val="000000"/>
        </w:rPr>
      </w:pPr>
    </w:p>
    <w:p>
      <w:pPr>
        <w:rPr>
          <w:color w:val="000000"/>
        </w:rPr>
      </w:pPr>
    </w:p>
    <w:p>
      <w:pPr>
        <w:rPr>
          <w:rFonts w:hint="eastAsia"/>
          <w:color w:val="000000"/>
        </w:rPr>
      </w:pPr>
    </w:p>
    <w:p>
      <w:pPr>
        <w:rPr>
          <w:rFonts w:hint="eastAsia"/>
          <w:color w:val="000000"/>
        </w:rPr>
        <w:sectPr>
          <w:pgSz w:w="16838" w:h="11906" w:orient="landscape"/>
          <w:pgMar w:top="1417" w:right="1361" w:bottom="1417" w:left="1247" w:header="851" w:footer="992" w:gutter="0"/>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A711A"/>
    <w:rsid w:val="433A7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unhideWhenUsed/>
    <w:qFormat/>
    <w:uiPriority w:val="99"/>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2020-01-01T01:28:00Z</dcterms:created>
  <dc:creator>cgy</dc:creator>
  <cp:lastModifiedBy>cgy</cp:lastModifiedBy>
  <dcterms:modified xsi:type="dcterms:W3CDTF">2020-01-01T01:28:15Z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