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6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县（市、区）地质灾害隐患点核销调查情况表（A）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（避让搬迁类）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调查单位（章）：                      隐患点编号：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847"/>
        <w:gridCol w:w="748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8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隐患点名称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隐患类型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□崩塌   □滑坡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□泥石流 □地面塌陷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  置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县（市、区）       乡/镇      村     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发生（发现）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   间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840" w:firstLineChars="4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  时  分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坐标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X=          Y=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原威胁对象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945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    人      万元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隐患规模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地质环境条件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搬迁避让情况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稳定性分析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调查结论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下步措施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    议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15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 片</w:t>
            </w:r>
          </w:p>
        </w:tc>
        <w:tc>
          <w:tcPr>
            <w:tcW w:w="7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15" w:firstLineChars="15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（作为附页）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注：下步措施建议栏，主要填写调整管控范围、警示标识牌、监测要求</w:t>
      </w:r>
      <w:r>
        <w:rPr>
          <w:rFonts w:hint="eastAsia" w:ascii="仿宋_GB2312" w:hAnsi="仿宋_GB2312" w:eastAsia="仿宋_GB2312" w:cs="仿宋_GB2312"/>
          <w:sz w:val="24"/>
          <w:szCs w:val="22"/>
          <w:lang w:eastAsia="zh-CN"/>
        </w:rPr>
        <w:t>，或纳入地质灾害风险防范区管理</w:t>
      </w:r>
      <w:r>
        <w:rPr>
          <w:rFonts w:hint="eastAsia" w:ascii="仿宋_GB2312" w:hAnsi="仿宋_GB2312" w:eastAsia="仿宋_GB2312" w:cs="仿宋_GB2312"/>
          <w:sz w:val="24"/>
          <w:szCs w:val="22"/>
        </w:rPr>
        <w:t>，加强土地整治监管，做好治理工程竣工后的管理和维护等工作。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440" w:lineRule="exact"/>
        <w:textAlignment w:val="auto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县（市、区）地质灾害隐患点核销调查情况表（B）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（工程治理类）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调查单位（章）：                     隐患点编号：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867"/>
        <w:gridCol w:w="752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隐患点名称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隐患类型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□崩塌   □滑坡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□泥石流 □地面塌陷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  置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县（市、区）       乡/镇     村     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发生（发现）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   间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日   时   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坐标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X=          Y=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原威胁对象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户     人      万元  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隐患规模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地质环境条件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工程治理情况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稳定性分析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调查结论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下步措施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    议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15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 片</w:t>
            </w:r>
          </w:p>
        </w:tc>
        <w:tc>
          <w:tcPr>
            <w:tcW w:w="7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15" w:firstLineChars="15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（作为附页）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注：下步措施建议栏，主要填写调整管控范围、警示标识牌、监测要求</w:t>
      </w:r>
      <w:r>
        <w:rPr>
          <w:rFonts w:hint="eastAsia" w:ascii="仿宋_GB2312" w:hAnsi="仿宋_GB2312" w:eastAsia="仿宋_GB2312" w:cs="仿宋_GB2312"/>
          <w:sz w:val="24"/>
          <w:szCs w:val="22"/>
          <w:lang w:eastAsia="zh-CN"/>
        </w:rPr>
        <w:t>，或纳入地质灾害风险防范区管理</w:t>
      </w:r>
      <w:r>
        <w:rPr>
          <w:rFonts w:hint="eastAsia" w:ascii="仿宋_GB2312" w:hAnsi="仿宋_GB2312" w:eastAsia="仿宋_GB2312" w:cs="仿宋_GB2312"/>
          <w:sz w:val="24"/>
          <w:szCs w:val="22"/>
        </w:rPr>
        <w:t>，加强土地整治监管，做好治理工程竣工后的管理和维等工作。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县（市、区）地质灾害隐患点核销调查情况表（C）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ind w:firstLine="72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（地质环境条件改变类）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调查单位（章）：                      隐患点编号：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3835"/>
        <w:gridCol w:w="746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隐患点名称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隐患类型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□崩塌   □滑坡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□泥石流 □地面塌陷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  置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县（市、区）       乡/镇      村     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发生（发现）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   间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  时  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坐标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X=                 Y=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原威胁对象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     人      万元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隐患规模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地质环境条件及变化情况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稳定性分析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调查结论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下步措施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    议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315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 片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="1785" w:firstLineChars="85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（作为附页）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2"/>
        </w:rPr>
        <w:t>注：下步措施建议栏，主要填写调整管控范围、警示标识牌、监测要求，</w:t>
      </w:r>
      <w:r>
        <w:rPr>
          <w:rFonts w:hint="eastAsia" w:ascii="仿宋_GB2312" w:hAnsi="仿宋_GB2312" w:eastAsia="仿宋_GB2312" w:cs="仿宋_GB2312"/>
          <w:sz w:val="24"/>
          <w:szCs w:val="22"/>
          <w:lang w:eastAsia="zh-CN"/>
        </w:rPr>
        <w:t>以及纳入地质灾害风险防范区管理，</w:t>
      </w:r>
      <w:r>
        <w:rPr>
          <w:rFonts w:hint="eastAsia" w:ascii="仿宋_GB2312" w:hAnsi="仿宋_GB2312" w:eastAsia="仿宋_GB2312" w:cs="仿宋_GB2312"/>
          <w:sz w:val="24"/>
          <w:szCs w:val="22"/>
        </w:rPr>
        <w:t>加强土地整治监管，做好治理工程竣工后的管理和维护等工作。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50B150E6"/>
    <w:rsid w:val="50B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2022-08-03T09:27:00Z</dcterms:created>
  <dc:creator>南星</dc:creator>
  <cp:lastModifiedBy>南星</cp:lastModifiedBy>
  <dcterms:modified xsi:type="dcterms:W3CDTF">2022-08-03T09:27:37Z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C530FAB34E094D27B1216C084B3577DE</vt:lpwstr>
  </property>
</Properties>
</file>