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eastAsia="黑体"/>
          <w:color w:val="000000"/>
          <w:sz w:val="32"/>
          <w:szCs w:val="32"/>
        </w:rPr>
      </w:pPr>
      <w:r>
        <w:rPr>
          <w:rFonts w:eastAsia="黑体"/>
          <w:bCs/>
          <w:color w:val="000000"/>
          <w:sz w:val="32"/>
          <w:szCs w:val="32"/>
        </w:rPr>
        <w:t xml:space="preserve">附件1        </w:t>
      </w:r>
    </w:p>
    <w:p>
      <w:pPr>
        <w:spacing w:after="157" w:afterLines="50" w:line="640" w:lineRule="exact"/>
        <w:jc w:val="center"/>
        <w:rPr>
          <w:color w:val="000000"/>
          <w:sz w:val="36"/>
          <w:szCs w:val="36"/>
        </w:rPr>
      </w:pPr>
      <w:r>
        <w:rPr>
          <w:rFonts w:hint="eastAsia" w:ascii="方正小标宋简体" w:hAnsi="方正小标宋简体" w:eastAsia="方正小标宋简体"/>
          <w:color w:val="000000"/>
          <w:sz w:val="36"/>
          <w:szCs w:val="36"/>
        </w:rPr>
        <w:t>202</w:t>
      </w:r>
      <w:r>
        <w:rPr>
          <w:rFonts w:ascii="方正小标宋简体" w:hAnsi="方正小标宋简体" w:eastAsia="方正小标宋简体"/>
          <w:color w:val="000000"/>
          <w:sz w:val="36"/>
          <w:szCs w:val="36"/>
        </w:rPr>
        <w:t>2</w:t>
      </w:r>
      <w:r>
        <w:rPr>
          <w:rFonts w:hint="eastAsia" w:ascii="方正小标宋简体" w:hAnsi="方正小标宋简体" w:eastAsia="方正小标宋简体"/>
          <w:color w:val="000000"/>
          <w:sz w:val="36"/>
          <w:szCs w:val="36"/>
        </w:rPr>
        <w:t>年度省厅矿产督察任务清单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634"/>
        <w:gridCol w:w="2766"/>
        <w:gridCol w:w="1877"/>
        <w:gridCol w:w="2637"/>
        <w:gridCol w:w="1559"/>
        <w:gridCol w:w="1336"/>
        <w:gridCol w:w="973"/>
        <w:gridCol w:w="850"/>
        <w:gridCol w:w="70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586" w:type="dxa"/>
            <w:shd w:val="clear" w:color="auto" w:fill="auto"/>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组号</w:t>
            </w:r>
          </w:p>
        </w:tc>
        <w:tc>
          <w:tcPr>
            <w:tcW w:w="634"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序号</w:t>
            </w:r>
          </w:p>
        </w:tc>
        <w:tc>
          <w:tcPr>
            <w:tcW w:w="2766"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许可证号</w:t>
            </w:r>
          </w:p>
        </w:tc>
        <w:tc>
          <w:tcPr>
            <w:tcW w:w="1877"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矿业权人</w:t>
            </w:r>
          </w:p>
        </w:tc>
        <w:tc>
          <w:tcPr>
            <w:tcW w:w="2637"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项目名称</w:t>
            </w:r>
          </w:p>
        </w:tc>
        <w:tc>
          <w:tcPr>
            <w:tcW w:w="1559"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矿种</w:t>
            </w:r>
          </w:p>
        </w:tc>
        <w:tc>
          <w:tcPr>
            <w:tcW w:w="1336" w:type="dxa"/>
            <w:shd w:val="clear" w:color="auto" w:fill="FFFFFF"/>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许可证有效期截止日</w:t>
            </w:r>
          </w:p>
        </w:tc>
        <w:tc>
          <w:tcPr>
            <w:tcW w:w="973" w:type="dxa"/>
            <w:noWrap w:val="0"/>
            <w:vAlign w:val="center"/>
          </w:tcPr>
          <w:p>
            <w:pPr>
              <w:widowControl/>
              <w:spacing w:line="240" w:lineRule="exact"/>
              <w:rPr>
                <w:rFonts w:eastAsia="仿宋_GB2312"/>
                <w:b/>
                <w:bCs/>
                <w:color w:val="000000"/>
                <w:kern w:val="0"/>
                <w:szCs w:val="21"/>
              </w:rPr>
            </w:pPr>
            <w:r>
              <w:rPr>
                <w:rFonts w:eastAsia="仿宋_GB2312"/>
                <w:b/>
                <w:bCs/>
                <w:color w:val="000000"/>
                <w:kern w:val="0"/>
                <w:szCs w:val="21"/>
                <w:lang w:bidi="ar"/>
              </w:rPr>
              <w:t>督察组</w:t>
            </w:r>
          </w:p>
        </w:tc>
        <w:tc>
          <w:tcPr>
            <w:tcW w:w="850" w:type="dxa"/>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联络员</w:t>
            </w:r>
          </w:p>
        </w:tc>
        <w:tc>
          <w:tcPr>
            <w:tcW w:w="719" w:type="dxa"/>
            <w:gridSpan w:val="2"/>
            <w:noWrap w:val="0"/>
            <w:vAlign w:val="center"/>
          </w:tcPr>
          <w:p>
            <w:pPr>
              <w:widowControl/>
              <w:spacing w:line="240" w:lineRule="exact"/>
              <w:jc w:val="center"/>
              <w:rPr>
                <w:rFonts w:eastAsia="仿宋_GB2312"/>
                <w:b/>
                <w:bCs/>
                <w:color w:val="000000"/>
                <w:kern w:val="0"/>
                <w:szCs w:val="21"/>
              </w:rPr>
            </w:pPr>
            <w:r>
              <w:rPr>
                <w:rFonts w:eastAsia="仿宋_GB2312"/>
                <w:b/>
                <w:bCs/>
                <w:color w:val="000000"/>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restart"/>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1</w:t>
            </w:r>
          </w:p>
        </w:tc>
        <w:tc>
          <w:tcPr>
            <w:tcW w:w="634" w:type="dxa"/>
            <w:shd w:val="clear" w:color="auto" w:fill="FFFFFF"/>
            <w:noWrap w:val="0"/>
            <w:vAlign w:val="center"/>
          </w:tcPr>
          <w:p>
            <w:pPr>
              <w:widowControl/>
              <w:spacing w:line="240" w:lineRule="exact"/>
              <w:jc w:val="center"/>
              <w:rPr>
                <w:rFonts w:eastAsia="仿宋_GB2312"/>
                <w:color w:val="000000"/>
                <w:kern w:val="0"/>
                <w:szCs w:val="21"/>
              </w:rPr>
            </w:pPr>
            <w:r>
              <w:rPr>
                <w:rFonts w:eastAsia="仿宋_GB2312"/>
                <w:color w:val="000000"/>
                <w:kern w:val="0"/>
                <w:szCs w:val="21"/>
              </w:rPr>
              <w:t>1</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C3300002008077120000129</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建德市大岩山矿业有限公司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建德市大岩山矿业有限公司大理岩矿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方解石</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2038/10/16</w:t>
            </w:r>
          </w:p>
        </w:tc>
        <w:tc>
          <w:tcPr>
            <w:tcW w:w="973" w:type="dxa"/>
            <w:vMerge w:val="restart"/>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lang w:bidi="ar"/>
              </w:rPr>
              <w:t>刘永祥、孟祥随</w:t>
            </w:r>
          </w:p>
        </w:tc>
        <w:tc>
          <w:tcPr>
            <w:tcW w:w="850" w:type="dxa"/>
            <w:vMerge w:val="restart"/>
            <w:noWrap w:val="0"/>
            <w:vAlign w:val="center"/>
          </w:tcPr>
          <w:p>
            <w:pPr>
              <w:widowControl/>
              <w:spacing w:line="240" w:lineRule="exact"/>
              <w:jc w:val="center"/>
              <w:rPr>
                <w:rFonts w:eastAsia="仿宋_GB2312"/>
                <w:color w:val="000000"/>
                <w:szCs w:val="21"/>
              </w:rPr>
            </w:pPr>
            <w:r>
              <w:rPr>
                <w:rFonts w:eastAsia="仿宋_GB2312"/>
                <w:color w:val="000000"/>
                <w:kern w:val="0"/>
                <w:szCs w:val="21"/>
                <w:lang w:bidi="ar"/>
              </w:rPr>
              <w:t>谢颖</w:t>
            </w:r>
          </w:p>
        </w:tc>
        <w:tc>
          <w:tcPr>
            <w:tcW w:w="709" w:type="dxa"/>
            <w:vMerge w:val="restart"/>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C3300002011047120110817</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建德红狮水泥有限公司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建德红狮水泥有限公司童家石灰石矿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熔剂用石灰岩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2044/9/30</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lang w:bidi="ar"/>
              </w:rPr>
            </w:pPr>
          </w:p>
        </w:tc>
        <w:tc>
          <w:tcPr>
            <w:tcW w:w="850" w:type="dxa"/>
            <w:vMerge w:val="continue"/>
            <w:noWrap w:val="0"/>
            <w:vAlign w:val="center"/>
          </w:tcPr>
          <w:p>
            <w:pPr>
              <w:widowControl/>
              <w:snapToGrid w:val="0"/>
              <w:spacing w:line="240" w:lineRule="exact"/>
              <w:jc w:val="center"/>
              <w:rPr>
                <w:rFonts w:eastAsia="仿宋_GB2312"/>
                <w:color w:val="000000"/>
                <w:kern w:val="0"/>
                <w:szCs w:val="21"/>
                <w:lang w:bidi="ar"/>
              </w:rPr>
            </w:pPr>
          </w:p>
        </w:tc>
        <w:tc>
          <w:tcPr>
            <w:tcW w:w="709" w:type="dxa"/>
            <w:vMerge w:val="continue"/>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3</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C3300002012076110126966</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浙江紫晶矿业有限公司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常山县新昌乡岩前萤石矿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萤石(普通)</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2042/7/24</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lang w:bidi="ar"/>
              </w:rPr>
            </w:pPr>
          </w:p>
        </w:tc>
        <w:tc>
          <w:tcPr>
            <w:tcW w:w="850" w:type="dxa"/>
            <w:vMerge w:val="continue"/>
            <w:noWrap w:val="0"/>
            <w:vAlign w:val="center"/>
          </w:tcPr>
          <w:p>
            <w:pPr>
              <w:widowControl/>
              <w:snapToGrid w:val="0"/>
              <w:spacing w:line="240" w:lineRule="exact"/>
              <w:jc w:val="center"/>
              <w:rPr>
                <w:rFonts w:eastAsia="仿宋_GB2312"/>
                <w:color w:val="000000"/>
                <w:kern w:val="0"/>
                <w:szCs w:val="21"/>
                <w:lang w:bidi="ar"/>
              </w:rPr>
            </w:pPr>
          </w:p>
        </w:tc>
        <w:tc>
          <w:tcPr>
            <w:tcW w:w="709" w:type="dxa"/>
            <w:vMerge w:val="continue"/>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restart"/>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w:t>
            </w: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4</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C3303272015127130140656</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温州鼎通矿业有限公司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苍南县藻溪镇魁桥建筑用石料（凝灰岩）矿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建筑用石料（凝灰岩）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2029/6/1</w:t>
            </w:r>
          </w:p>
        </w:tc>
        <w:tc>
          <w:tcPr>
            <w:tcW w:w="973" w:type="dxa"/>
            <w:vMerge w:val="restart"/>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lang w:bidi="ar"/>
              </w:rPr>
              <w:t>高国庆、</w:t>
            </w:r>
            <w:r>
              <w:rPr>
                <w:rFonts w:eastAsia="仿宋_GB2312"/>
                <w:color w:val="000000"/>
                <w:kern w:val="0"/>
                <w:szCs w:val="21"/>
              </w:rPr>
              <w:t>沈朝钢</w:t>
            </w:r>
          </w:p>
        </w:tc>
        <w:tc>
          <w:tcPr>
            <w:tcW w:w="850" w:type="dxa"/>
            <w:vMerge w:val="restart"/>
            <w:noWrap w:val="0"/>
            <w:vAlign w:val="center"/>
          </w:tcPr>
          <w:p>
            <w:pPr>
              <w:widowControl/>
              <w:spacing w:line="240" w:lineRule="exact"/>
              <w:jc w:val="center"/>
              <w:rPr>
                <w:rFonts w:eastAsia="仿宋_GB2312"/>
                <w:color w:val="000000"/>
                <w:szCs w:val="21"/>
              </w:rPr>
            </w:pPr>
            <w:r>
              <w:rPr>
                <w:rFonts w:eastAsia="仿宋_GB2312"/>
                <w:color w:val="000000"/>
                <w:kern w:val="0"/>
                <w:szCs w:val="21"/>
                <w:lang w:bidi="ar"/>
              </w:rPr>
              <w:t>谢颖</w:t>
            </w:r>
          </w:p>
        </w:tc>
        <w:tc>
          <w:tcPr>
            <w:tcW w:w="709" w:type="dxa"/>
            <w:vMerge w:val="restart"/>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5</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C3303222009117110045795</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温州市水利投资开发有限公司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温州市瓯飞一期围垦工程洞头县霓屿街道布袋岙建筑用石料（凝灰岩）矿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建筑用石料（凝灰岩）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2027/2/13</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lang w:bidi="ar"/>
              </w:rPr>
            </w:pPr>
          </w:p>
        </w:tc>
        <w:tc>
          <w:tcPr>
            <w:tcW w:w="850" w:type="dxa"/>
            <w:vMerge w:val="continue"/>
            <w:noWrap w:val="0"/>
            <w:vAlign w:val="center"/>
          </w:tcPr>
          <w:p>
            <w:pPr>
              <w:widowControl/>
              <w:snapToGrid w:val="0"/>
              <w:spacing w:line="240" w:lineRule="exact"/>
              <w:jc w:val="center"/>
              <w:rPr>
                <w:rFonts w:eastAsia="仿宋_GB2312"/>
                <w:color w:val="000000"/>
                <w:kern w:val="0"/>
                <w:szCs w:val="21"/>
                <w:lang w:bidi="ar"/>
              </w:rPr>
            </w:pPr>
          </w:p>
        </w:tc>
        <w:tc>
          <w:tcPr>
            <w:tcW w:w="709" w:type="dxa"/>
            <w:vMerge w:val="continue"/>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restart"/>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3</w:t>
            </w: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6</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C3300002011037120110069</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临海市金湖物资经营有限公司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临海市红脚岩渔港建设工程临海市上盘镇旧城村新塘门普通建筑用石料(宕渣)矿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建筑用石料（凝灰岩）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2022/6/18</w:t>
            </w:r>
          </w:p>
        </w:tc>
        <w:tc>
          <w:tcPr>
            <w:tcW w:w="973" w:type="dxa"/>
            <w:vMerge w:val="restart"/>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lang w:bidi="ar"/>
              </w:rPr>
              <w:t>卢炳生、王良来</w:t>
            </w:r>
          </w:p>
        </w:tc>
        <w:tc>
          <w:tcPr>
            <w:tcW w:w="850" w:type="dxa"/>
            <w:vMerge w:val="restart"/>
            <w:noWrap w:val="0"/>
            <w:vAlign w:val="center"/>
          </w:tcPr>
          <w:p>
            <w:pPr>
              <w:widowControl/>
              <w:spacing w:line="240" w:lineRule="exact"/>
              <w:jc w:val="center"/>
              <w:rPr>
                <w:rFonts w:eastAsia="仿宋_GB2312"/>
                <w:color w:val="000000"/>
                <w:szCs w:val="21"/>
              </w:rPr>
            </w:pPr>
            <w:r>
              <w:rPr>
                <w:rFonts w:eastAsia="仿宋_GB2312"/>
                <w:color w:val="000000"/>
                <w:kern w:val="0"/>
                <w:szCs w:val="21"/>
                <w:lang w:bidi="ar"/>
              </w:rPr>
              <w:t>谢颖</w:t>
            </w:r>
          </w:p>
        </w:tc>
        <w:tc>
          <w:tcPr>
            <w:tcW w:w="709" w:type="dxa"/>
            <w:vMerge w:val="restart"/>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7</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C3310222010107130077444</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三门广聚建材有限公司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三门县六敖镇白馋山普通建筑石料矿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建筑用石料（凝灰岩）</w:t>
            </w:r>
          </w:p>
        </w:tc>
        <w:tc>
          <w:tcPr>
            <w:tcW w:w="1336" w:type="dxa"/>
            <w:shd w:val="clear" w:color="auto" w:fill="auto"/>
            <w:noWrap w:val="0"/>
            <w:vAlign w:val="center"/>
          </w:tcPr>
          <w:p>
            <w:pPr>
              <w:widowControl/>
              <w:spacing w:line="240" w:lineRule="exact"/>
              <w:jc w:val="center"/>
              <w:rPr>
                <w:rFonts w:eastAsia="仿宋_GB2312"/>
                <w:color w:val="000000"/>
                <w:szCs w:val="21"/>
              </w:rPr>
            </w:pPr>
            <w:r>
              <w:rPr>
                <w:rFonts w:eastAsia="仿宋_GB2312"/>
                <w:color w:val="000000"/>
                <w:kern w:val="0"/>
                <w:szCs w:val="21"/>
              </w:rPr>
              <w:t>2022/9/29</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lang w:bidi="ar"/>
              </w:rPr>
            </w:pPr>
          </w:p>
        </w:tc>
        <w:tc>
          <w:tcPr>
            <w:tcW w:w="850" w:type="dxa"/>
            <w:vMerge w:val="continue"/>
            <w:noWrap w:val="0"/>
            <w:vAlign w:val="center"/>
          </w:tcPr>
          <w:p>
            <w:pPr>
              <w:widowControl/>
              <w:snapToGrid w:val="0"/>
              <w:spacing w:line="240" w:lineRule="exact"/>
              <w:jc w:val="center"/>
              <w:rPr>
                <w:rFonts w:eastAsia="仿宋_GB2312"/>
                <w:color w:val="000000"/>
                <w:kern w:val="0"/>
                <w:szCs w:val="21"/>
                <w:lang w:bidi="ar"/>
              </w:rPr>
            </w:pPr>
          </w:p>
        </w:tc>
        <w:tc>
          <w:tcPr>
            <w:tcW w:w="709" w:type="dxa"/>
            <w:vMerge w:val="continue"/>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restart"/>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4</w:t>
            </w: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8</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C3302262011127130121045</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宁海县创建建材有限公司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宁海县创建建材有限公司大金山采石场</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建筑用砂岩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2022/6/7</w:t>
            </w:r>
          </w:p>
        </w:tc>
        <w:tc>
          <w:tcPr>
            <w:tcW w:w="973" w:type="dxa"/>
            <w:vMerge w:val="restart"/>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lang w:bidi="ar"/>
              </w:rPr>
              <w:t>杨俊杰、丁嘉林</w:t>
            </w:r>
          </w:p>
        </w:tc>
        <w:tc>
          <w:tcPr>
            <w:tcW w:w="850" w:type="dxa"/>
            <w:vMerge w:val="restart"/>
            <w:noWrap w:val="0"/>
            <w:vAlign w:val="center"/>
          </w:tcPr>
          <w:p>
            <w:pPr>
              <w:widowControl/>
              <w:spacing w:line="240" w:lineRule="exact"/>
              <w:jc w:val="center"/>
              <w:rPr>
                <w:rFonts w:eastAsia="仿宋_GB2312"/>
                <w:color w:val="000000"/>
                <w:szCs w:val="21"/>
              </w:rPr>
            </w:pPr>
            <w:r>
              <w:rPr>
                <w:rFonts w:eastAsia="仿宋_GB2312"/>
                <w:color w:val="000000"/>
                <w:kern w:val="0"/>
                <w:szCs w:val="21"/>
                <w:lang w:bidi="ar"/>
              </w:rPr>
              <w:t>樊明昌</w:t>
            </w:r>
          </w:p>
        </w:tc>
        <w:tc>
          <w:tcPr>
            <w:tcW w:w="709" w:type="dxa"/>
            <w:vMerge w:val="restart"/>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9</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C3309212015127130140618</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舟山海港港口开发有限公司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舟山海港港口开发有限公司岱山县衢山镇万南村、万北村凉亭基岗建筑用石料（凝灰岩）矿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建筑用石料（凝灰岩）</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2024/12/4</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lang w:bidi="ar"/>
              </w:rPr>
            </w:pPr>
          </w:p>
        </w:tc>
        <w:tc>
          <w:tcPr>
            <w:tcW w:w="850" w:type="dxa"/>
            <w:vMerge w:val="continue"/>
            <w:noWrap w:val="0"/>
            <w:vAlign w:val="center"/>
          </w:tcPr>
          <w:p>
            <w:pPr>
              <w:widowControl/>
              <w:snapToGrid w:val="0"/>
              <w:spacing w:line="240" w:lineRule="exact"/>
              <w:jc w:val="center"/>
              <w:rPr>
                <w:rFonts w:eastAsia="仿宋_GB2312"/>
                <w:color w:val="000000"/>
                <w:kern w:val="0"/>
                <w:szCs w:val="21"/>
                <w:lang w:bidi="ar"/>
              </w:rPr>
            </w:pPr>
          </w:p>
        </w:tc>
        <w:tc>
          <w:tcPr>
            <w:tcW w:w="709" w:type="dxa"/>
            <w:vMerge w:val="continue"/>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restart"/>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5</w:t>
            </w: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10</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C3300002009016120003131</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龙泉市砩矿有限责任公司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龙泉市砩矿有限责任公司</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萤石(普通)</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2024/12/31</w:t>
            </w:r>
          </w:p>
        </w:tc>
        <w:tc>
          <w:tcPr>
            <w:tcW w:w="973" w:type="dxa"/>
            <w:vMerge w:val="restart"/>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lang w:bidi="ar"/>
              </w:rPr>
              <w:t>黄泉江、陈克传</w:t>
            </w:r>
          </w:p>
        </w:tc>
        <w:tc>
          <w:tcPr>
            <w:tcW w:w="850" w:type="dxa"/>
            <w:vMerge w:val="restart"/>
            <w:noWrap w:val="0"/>
            <w:vAlign w:val="center"/>
          </w:tcPr>
          <w:p>
            <w:pPr>
              <w:widowControl/>
              <w:spacing w:line="240" w:lineRule="exact"/>
              <w:jc w:val="center"/>
              <w:rPr>
                <w:rFonts w:eastAsia="仿宋_GB2312"/>
                <w:color w:val="000000"/>
                <w:szCs w:val="21"/>
              </w:rPr>
            </w:pPr>
            <w:r>
              <w:rPr>
                <w:rFonts w:eastAsia="仿宋_GB2312"/>
                <w:color w:val="000000"/>
                <w:kern w:val="0"/>
                <w:szCs w:val="21"/>
                <w:lang w:bidi="ar"/>
              </w:rPr>
              <w:t>樊明昌</w:t>
            </w:r>
          </w:p>
        </w:tc>
        <w:tc>
          <w:tcPr>
            <w:tcW w:w="709" w:type="dxa"/>
            <w:vMerge w:val="restart"/>
            <w:noWrap w:val="0"/>
            <w:vAlign w:val="center"/>
          </w:tcPr>
          <w:p>
            <w:pPr>
              <w:widowControl/>
              <w:snapToGrid w:val="0"/>
              <w:spacing w:line="240" w:lineRule="exact"/>
              <w:jc w:val="center"/>
              <w:rPr>
                <w:rFonts w:eastAsia="仿宋_GB2312"/>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11</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C3300002011066110115182</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浙江大金庄矿业有限公司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浙江省遂昌县柘岱口乡横坑坪萤石矿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萤石(普通)</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2037/9/23</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rPr>
            </w:pPr>
          </w:p>
        </w:tc>
        <w:tc>
          <w:tcPr>
            <w:tcW w:w="850" w:type="dxa"/>
            <w:vMerge w:val="continue"/>
            <w:noWrap w:val="0"/>
            <w:vAlign w:val="center"/>
          </w:tcPr>
          <w:p>
            <w:pPr>
              <w:widowControl/>
              <w:snapToGrid w:val="0"/>
              <w:spacing w:line="240" w:lineRule="exact"/>
              <w:jc w:val="center"/>
              <w:rPr>
                <w:rFonts w:eastAsia="仿宋_GB2312"/>
                <w:color w:val="000000"/>
                <w:kern w:val="0"/>
                <w:szCs w:val="21"/>
              </w:rPr>
            </w:pPr>
          </w:p>
        </w:tc>
        <w:tc>
          <w:tcPr>
            <w:tcW w:w="709" w:type="dxa"/>
            <w:vMerge w:val="continue"/>
            <w:noWrap w:val="0"/>
            <w:vAlign w:val="center"/>
          </w:tcPr>
          <w:p>
            <w:pPr>
              <w:widowControl/>
              <w:snapToGrid w:val="0"/>
              <w:spacing w:line="240" w:lineRule="exact"/>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12</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C3300002009066130025091</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遂昌县湖山莹石矿</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遂昌县湖山莹石矿</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萤石(普通)</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2046/6/30</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rPr>
            </w:pPr>
          </w:p>
        </w:tc>
        <w:tc>
          <w:tcPr>
            <w:tcW w:w="850" w:type="dxa"/>
            <w:vMerge w:val="continue"/>
            <w:noWrap w:val="0"/>
            <w:vAlign w:val="center"/>
          </w:tcPr>
          <w:p>
            <w:pPr>
              <w:widowControl/>
              <w:snapToGrid w:val="0"/>
              <w:spacing w:line="240" w:lineRule="exact"/>
              <w:jc w:val="center"/>
              <w:rPr>
                <w:rFonts w:eastAsia="仿宋_GB2312"/>
                <w:color w:val="000000"/>
                <w:kern w:val="0"/>
                <w:szCs w:val="21"/>
              </w:rPr>
            </w:pPr>
          </w:p>
        </w:tc>
        <w:tc>
          <w:tcPr>
            <w:tcW w:w="709" w:type="dxa"/>
            <w:vMerge w:val="continue"/>
            <w:noWrap w:val="0"/>
            <w:vAlign w:val="center"/>
          </w:tcPr>
          <w:p>
            <w:pPr>
              <w:widowControl/>
              <w:snapToGrid w:val="0"/>
              <w:spacing w:line="240" w:lineRule="exact"/>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7" w:hRule="atLeast"/>
          <w:jc w:val="center"/>
        </w:trPr>
        <w:tc>
          <w:tcPr>
            <w:tcW w:w="586" w:type="dxa"/>
            <w:vMerge w:val="continue"/>
            <w:shd w:val="clear" w:color="auto" w:fill="FFFFFF"/>
            <w:noWrap w:val="0"/>
            <w:vAlign w:val="center"/>
          </w:tcPr>
          <w:p>
            <w:pPr>
              <w:widowControl/>
              <w:snapToGrid w:val="0"/>
              <w:spacing w:line="240" w:lineRule="exact"/>
              <w:jc w:val="center"/>
              <w:rPr>
                <w:rFonts w:eastAsia="仿宋_GB2312"/>
                <w:color w:val="000000"/>
                <w:kern w:val="0"/>
                <w:szCs w:val="21"/>
              </w:rPr>
            </w:pPr>
          </w:p>
        </w:tc>
        <w:tc>
          <w:tcPr>
            <w:tcW w:w="634"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13</w:t>
            </w:r>
            <w:r>
              <w:rPr>
                <w:rFonts w:eastAsia="仿宋_GB2312"/>
                <w:color w:val="000000"/>
                <w:kern w:val="0"/>
                <w:szCs w:val="21"/>
                <w:lang w:bidi="ar"/>
              </w:rPr>
              <w:t>*</w:t>
            </w:r>
          </w:p>
        </w:tc>
        <w:tc>
          <w:tcPr>
            <w:tcW w:w="276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C3300002010114220082106</w:t>
            </w:r>
          </w:p>
        </w:tc>
        <w:tc>
          <w:tcPr>
            <w:tcW w:w="1877"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浙江省遂昌金矿有限公司</w:t>
            </w:r>
          </w:p>
        </w:tc>
        <w:tc>
          <w:tcPr>
            <w:tcW w:w="2637" w:type="dxa"/>
            <w:shd w:val="clear" w:color="auto" w:fill="auto"/>
            <w:noWrap w:val="0"/>
            <w:vAlign w:val="center"/>
          </w:tcPr>
          <w:p>
            <w:pPr>
              <w:widowControl/>
              <w:spacing w:line="240" w:lineRule="exact"/>
              <w:rPr>
                <w:rFonts w:eastAsia="仿宋_GB2312"/>
                <w:color w:val="000000"/>
                <w:szCs w:val="21"/>
              </w:rPr>
            </w:pPr>
            <w:r>
              <w:rPr>
                <w:rFonts w:eastAsia="仿宋_GB2312"/>
                <w:color w:val="000000"/>
                <w:kern w:val="0"/>
                <w:szCs w:val="21"/>
              </w:rPr>
              <w:t>浙江省遂昌金矿有限公司</w:t>
            </w:r>
          </w:p>
        </w:tc>
        <w:tc>
          <w:tcPr>
            <w:tcW w:w="1559" w:type="dxa"/>
            <w:shd w:val="clear" w:color="auto" w:fill="FFFFFF"/>
            <w:noWrap w:val="0"/>
            <w:vAlign w:val="center"/>
          </w:tcPr>
          <w:p>
            <w:pPr>
              <w:widowControl/>
              <w:spacing w:line="240" w:lineRule="exact"/>
              <w:rPr>
                <w:rFonts w:eastAsia="仿宋_GB2312"/>
                <w:color w:val="000000"/>
                <w:szCs w:val="21"/>
              </w:rPr>
            </w:pPr>
            <w:r>
              <w:rPr>
                <w:rFonts w:eastAsia="仿宋_GB2312"/>
                <w:color w:val="000000"/>
                <w:kern w:val="0"/>
                <w:szCs w:val="21"/>
              </w:rPr>
              <w:t>金矿</w:t>
            </w:r>
          </w:p>
        </w:tc>
        <w:tc>
          <w:tcPr>
            <w:tcW w:w="1336" w:type="dxa"/>
            <w:shd w:val="clear" w:color="auto" w:fill="FFFFFF"/>
            <w:noWrap w:val="0"/>
            <w:vAlign w:val="center"/>
          </w:tcPr>
          <w:p>
            <w:pPr>
              <w:widowControl/>
              <w:spacing w:line="240" w:lineRule="exact"/>
              <w:jc w:val="center"/>
              <w:rPr>
                <w:rFonts w:eastAsia="仿宋_GB2312"/>
                <w:color w:val="000000"/>
                <w:szCs w:val="21"/>
              </w:rPr>
            </w:pPr>
            <w:r>
              <w:rPr>
                <w:rFonts w:eastAsia="仿宋_GB2312"/>
                <w:color w:val="000000"/>
                <w:kern w:val="0"/>
                <w:szCs w:val="21"/>
              </w:rPr>
              <w:t>2028/10/31</w:t>
            </w:r>
          </w:p>
        </w:tc>
        <w:tc>
          <w:tcPr>
            <w:tcW w:w="973" w:type="dxa"/>
            <w:vMerge w:val="continue"/>
            <w:shd w:val="clear" w:color="auto" w:fill="FFFFFF"/>
            <w:noWrap w:val="0"/>
            <w:vAlign w:val="center"/>
          </w:tcPr>
          <w:p>
            <w:pPr>
              <w:widowControl/>
              <w:snapToGrid w:val="0"/>
              <w:spacing w:line="240" w:lineRule="exact"/>
              <w:rPr>
                <w:rFonts w:eastAsia="仿宋_GB2312"/>
                <w:color w:val="000000"/>
                <w:kern w:val="0"/>
                <w:szCs w:val="21"/>
              </w:rPr>
            </w:pPr>
          </w:p>
        </w:tc>
        <w:tc>
          <w:tcPr>
            <w:tcW w:w="850" w:type="dxa"/>
            <w:vMerge w:val="continue"/>
            <w:noWrap w:val="0"/>
            <w:vAlign w:val="center"/>
          </w:tcPr>
          <w:p>
            <w:pPr>
              <w:widowControl/>
              <w:snapToGrid w:val="0"/>
              <w:spacing w:line="240" w:lineRule="exact"/>
              <w:jc w:val="center"/>
              <w:rPr>
                <w:rFonts w:eastAsia="仿宋_GB2312"/>
                <w:color w:val="000000"/>
                <w:kern w:val="0"/>
                <w:szCs w:val="21"/>
              </w:rPr>
            </w:pPr>
          </w:p>
        </w:tc>
        <w:tc>
          <w:tcPr>
            <w:tcW w:w="709" w:type="dxa"/>
            <w:vMerge w:val="continue"/>
            <w:noWrap w:val="0"/>
            <w:vAlign w:val="center"/>
          </w:tcPr>
          <w:p>
            <w:pPr>
              <w:widowControl/>
              <w:snapToGrid w:val="0"/>
              <w:spacing w:line="240" w:lineRule="exact"/>
              <w:jc w:val="center"/>
              <w:rPr>
                <w:rFonts w:eastAsia="仿宋_GB2312"/>
                <w:color w:val="000000"/>
                <w:kern w:val="0"/>
                <w:szCs w:val="21"/>
              </w:rPr>
            </w:pPr>
          </w:p>
        </w:tc>
      </w:tr>
    </w:tbl>
    <w:p>
      <w:pPr>
        <w:spacing w:line="240" w:lineRule="exact"/>
        <w:ind w:left="120"/>
        <w:rPr>
          <w:rFonts w:hint="eastAsia" w:ascii="仿宋" w:hAnsi="仿宋" w:eastAsia="仿宋" w:cs="仿宋"/>
          <w:color w:val="000000"/>
          <w:kern w:val="0"/>
          <w:sz w:val="22"/>
          <w:szCs w:val="22"/>
          <w:lang w:bidi="ar"/>
        </w:rPr>
      </w:pPr>
    </w:p>
    <w:p>
      <w:pPr>
        <w:spacing w:line="320" w:lineRule="exact"/>
        <w:ind w:left="119"/>
        <w:rPr>
          <w:rFonts w:eastAsia="仿宋_GB2312"/>
          <w:color w:val="000000"/>
          <w:szCs w:val="21"/>
        </w:rPr>
      </w:pPr>
      <w:r>
        <w:rPr>
          <w:rFonts w:eastAsia="仿宋_GB2312"/>
          <w:color w:val="000000"/>
          <w:kern w:val="0"/>
          <w:szCs w:val="21"/>
          <w:lang w:bidi="ar"/>
        </w:rPr>
        <w:t>备注：1.与省应急管理厅联合抽查名单序号为1-5、9-13；与省厅生态修复处开展联合检查任务联合抽查名单序号为1-2、6-8、13;</w:t>
      </w:r>
    </w:p>
    <w:p>
      <w:pPr>
        <w:spacing w:line="320" w:lineRule="exact"/>
        <w:ind w:left="119"/>
        <w:rPr>
          <w:rFonts w:hint="eastAsia" w:ascii="仿宋_GB2312" w:hAnsi="仿宋_GB2312" w:eastAsia="仿宋_GB2312" w:cs="仿宋_GB2312"/>
          <w:color w:val="000000"/>
          <w:szCs w:val="21"/>
        </w:rPr>
      </w:pPr>
      <w:r>
        <w:rPr>
          <w:rFonts w:eastAsia="仿宋_GB2312"/>
          <w:color w:val="000000"/>
          <w:kern w:val="0"/>
          <w:szCs w:val="21"/>
          <w:lang w:bidi="ar"/>
        </w:rPr>
        <w:t xml:space="preserve">      2.与省</w:t>
      </w:r>
      <w:r>
        <w:rPr>
          <w:rFonts w:hint="eastAsia" w:ascii="仿宋_GB2312" w:hAnsi="仿宋_GB2312" w:eastAsia="仿宋_GB2312" w:cs="仿宋_GB2312"/>
          <w:color w:val="000000"/>
          <w:kern w:val="0"/>
          <w:szCs w:val="21"/>
          <w:lang w:bidi="ar"/>
        </w:rPr>
        <w:t>“打击‘洗洞’盗采金矿行动”专班联合抽查名单为序号带“*”项目。</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jk5NTcwNWY1ZmE2ZDQxNTdhYjNhNDliZGM5YTIifQ=="/>
  </w:docVars>
  <w:rsids>
    <w:rsidRoot w:val="55D46A63"/>
    <w:rsid w:val="55D4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2022-06-27T00:41:00Z</dcterms:created>
  <dc:creator>南星</dc:creator>
  <cp:lastModifiedBy>南星</cp:lastModifiedBy>
  <dcterms:modified xsi:type="dcterms:W3CDTF">2022-06-27T00:41:42Z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39795723D20F4CB481784C19A2D6515F</vt:lpwstr>
  </property>
</Properties>
</file>