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矿山企业整治提升表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865"/>
        <w:gridCol w:w="200"/>
        <w:gridCol w:w="2159"/>
        <w:gridCol w:w="2074"/>
        <w:gridCol w:w="2074"/>
        <w:gridCol w:w="2366"/>
        <w:gridCol w:w="768"/>
        <w:gridCol w:w="1377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矿山名称</w:t>
            </w:r>
          </w:p>
        </w:tc>
        <w:tc>
          <w:tcPr>
            <w:tcW w:w="630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矿山生产状态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采矿权人（签章）</w:t>
            </w:r>
          </w:p>
        </w:tc>
        <w:tc>
          <w:tcPr>
            <w:tcW w:w="630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是否属于应建绿色矿山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采矿许可证号</w:t>
            </w:r>
          </w:p>
        </w:tc>
        <w:tc>
          <w:tcPr>
            <w:tcW w:w="630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是否已通过第三方评估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tblHeader/>
        </w:trPr>
        <w:tc>
          <w:tcPr>
            <w:tcW w:w="850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提升要求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存在的问题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整改提升措施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13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矿区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环境</w:t>
            </w:r>
          </w:p>
        </w:tc>
        <w:tc>
          <w:tcPr>
            <w:tcW w:w="7372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lang w:val="en-US" w:eastAsia="zh-CN" w:bidi="ar-SA"/>
              </w:rPr>
              <w:t>体现“厂区”的概念，有独立的生产生活空间，有醒目的出入大门并配备专职门卫；有规范的标识物、警示牌和体现时代特征的标语，有绿色矿山旗帜；生产、生活、生态三区布局相对合理，场地道路整洁干净，物品堆放规范有序，废品垃圾妥善处置；三区内可绿化区域绿化覆盖率应达到100%。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治理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复绿</w:t>
            </w:r>
          </w:p>
        </w:tc>
        <w:tc>
          <w:tcPr>
            <w:tcW w:w="7372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1"/>
                <w:kern w:val="2"/>
                <w:sz w:val="24"/>
                <w:szCs w:val="24"/>
                <w:lang w:val="en-US" w:eastAsia="zh-CN" w:bidi="ar-SA"/>
              </w:rPr>
              <w:t>矿山生态修复应注重生物多样性保护和恢复，形成与周边生态环境相协调的植物群落和可自我维持的生态系统。已形成最终形态的边坡、场地均应及时开展治理复绿，露天矿山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裸露终了边坡不超过2个，平台覆土不低于30cm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1"/>
                <w:kern w:val="2"/>
                <w:sz w:val="24"/>
                <w:szCs w:val="24"/>
                <w:lang w:val="en-US" w:eastAsia="zh-CN" w:bidi="ar-SA"/>
              </w:rPr>
              <w:t>，治理后的区域应无岩石、土壤裸露，应埋设滴管、喷淋等浇灌设施。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视觉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污染</w:t>
            </w:r>
          </w:p>
        </w:tc>
        <w:tc>
          <w:tcPr>
            <w:tcW w:w="7372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露天矿山建设、生产期间，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要严格按照开发利用与安全设施设计方案施工，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严禁超前、超面积剥离，严禁将开挖的表土、废石顺坡倾倒，破坏山体植被，始终做到裸露山体最小化；生产区内暂不开采的裸露区域、开拓运输道路两侧，要及时完成治理复绿；对暂时不具备治理复绿条件的裸露区域，要覆盖三维植被网。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“三废”处置</w:t>
            </w:r>
          </w:p>
        </w:tc>
        <w:tc>
          <w:tcPr>
            <w:tcW w:w="7372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严格落实矿山粉尘防治措施，开采、加工、运输等各个环节均应实现粉尘实时检测和达标排放；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生产加工车间的产尘环节要全封闭，同时安装除尘装置；物料输送皮带或廊道应封闭；主要运输道路应全部硬化，保持道路平整清洁，并定期清扫、洒水；运输车辆应采用厢式密闭车辆或采取有效覆盖，车辆驶离矿区必须进行有效冲洗；鼓励使用国五及以上排放标准运输车辆、国三及以上排放标准矿山机械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完善截排水、污水处理系统，实现清污分流，生产废水应循环利用。剥离表土应合理堆放，用于复绿；废石、尾矿、尾泥等固体废弃物应综合利用。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数字化建设</w:t>
            </w:r>
          </w:p>
        </w:tc>
        <w:tc>
          <w:tcPr>
            <w:tcW w:w="737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大力推广绿色先进技术工艺，全面推进生产、管理数字化基础建设；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建立数据中心，实现一屏展示；关键环节加装传感器实现矿石开采数据自动归集；安装高清摄像头，建立矿区范围边界电子围栏，实现越界及时预警；关键位置安装粉尘实时检测设备，实现超标及时报警；视频监控应覆盖整个矿区；关键生产环节的人员、车辆应实时定位等。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形象</w:t>
            </w:r>
          </w:p>
        </w:tc>
        <w:tc>
          <w:tcPr>
            <w:tcW w:w="737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对标现代化企业管理要求，建立健全资源、生产、档案、人才等各项管理制度，提高专业化水平；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有完整的绿色矿山建设组织机构，定期组织技术人员参加绿色矿山建设业务培训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；加强生产生活配套设施建设，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职工宿舍应配备空调、网络、淋浴等设施，有正常运行的职工休闲、娱乐、文化体育设施，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统一配发工作服，提高职工满意度和获得感；积极参与地方公益事业，营造良好的企业形象和和谐的矿地氛围。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填报时间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填报人（签字）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法定代表人（签字）</w:t>
            </w:r>
          </w:p>
        </w:tc>
        <w:tc>
          <w:tcPr>
            <w:tcW w:w="33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ascii="Times New Roman" w:hAnsi="Times New Roman" w:eastAsia="宋体" w:cs="宋体"/>
      <w:kern w:val="44"/>
      <w:sz w:val="4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MZJ</dc:creator>
  <cp:lastModifiedBy>南星</cp:lastModifiedBy>
  <dcterms:modified xsi:type="dcterms:W3CDTF">2021-10-09T00:30:19Z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9C7C85F6248B4E148C329E3658B784C1</vt:lpwstr>
  </property>
</Properties>
</file>