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B0" w:rsidRDefault="00CF5CB0">
      <w:pPr>
        <w:spacing w:line="400" w:lineRule="exact"/>
        <w:ind w:firstLineChars="1900" w:firstLine="5320"/>
        <w:jc w:val="left"/>
        <w:rPr>
          <w:rFonts w:ascii="Times New Roman" w:eastAsia="仿宋" w:hAnsi="Times New Roman" w:cs="Times New Roman"/>
          <w:color w:val="000000" w:themeColor="text1"/>
          <w:sz w:val="28"/>
          <w:szCs w:val="28"/>
        </w:rPr>
      </w:pPr>
    </w:p>
    <w:p w:rsidR="00CF5CB0" w:rsidRDefault="00CF5CB0">
      <w:pPr>
        <w:rPr>
          <w:rFonts w:ascii="Times New Roman" w:hAnsi="Times New Roman" w:cs="Times New Roman"/>
          <w:sz w:val="36"/>
          <w:szCs w:val="36"/>
        </w:rPr>
      </w:pPr>
    </w:p>
    <w:p w:rsidR="00CF5CB0" w:rsidRDefault="00A55707">
      <w:pPr>
        <w:spacing w:line="400" w:lineRule="exact"/>
        <w:rPr>
          <w:rFonts w:ascii="黑体" w:eastAsia="黑体" w:hAnsi="黑体"/>
          <w:sz w:val="32"/>
          <w:szCs w:val="32"/>
        </w:rPr>
      </w:pPr>
      <w:bookmarkStart w:id="0" w:name="_GoBack"/>
      <w:bookmarkEnd w:id="0"/>
      <w:r>
        <w:rPr>
          <w:rFonts w:ascii="黑体" w:eastAsia="黑体" w:hAnsi="黑体" w:hint="eastAsia"/>
          <w:sz w:val="32"/>
          <w:szCs w:val="32"/>
        </w:rPr>
        <w:t>附</w:t>
      </w:r>
      <w:r>
        <w:rPr>
          <w:rFonts w:ascii="黑体" w:eastAsia="黑体" w:hAnsi="黑体" w:hint="eastAsia"/>
          <w:sz w:val="32"/>
          <w:szCs w:val="32"/>
        </w:rPr>
        <w:t>件</w:t>
      </w:r>
    </w:p>
    <w:p w:rsidR="00CF5CB0" w:rsidRDefault="00CF5CB0">
      <w:pPr>
        <w:spacing w:line="400" w:lineRule="exact"/>
        <w:rPr>
          <w:rFonts w:ascii="黑体" w:eastAsia="黑体" w:hAnsi="黑体"/>
          <w:sz w:val="32"/>
          <w:szCs w:val="32"/>
        </w:rPr>
      </w:pPr>
    </w:p>
    <w:p w:rsidR="00CF5CB0" w:rsidRDefault="00A5570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国家海洋督察反馈意见（问题编号</w:t>
      </w:r>
      <w:r>
        <w:rPr>
          <w:rFonts w:ascii="方正小标宋简体" w:eastAsia="方正小标宋简体" w:hAnsi="方正小标宋简体" w:cs="方正小标宋简体" w:hint="eastAsia"/>
          <w:sz w:val="44"/>
          <w:szCs w:val="44"/>
        </w:rPr>
        <w:t>27</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28</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29</w:t>
      </w:r>
      <w:r>
        <w:rPr>
          <w:rFonts w:ascii="方正小标宋简体" w:eastAsia="方正小标宋简体" w:hAnsi="方正小标宋简体" w:cs="方正小标宋简体" w:hint="eastAsia"/>
          <w:sz w:val="44"/>
          <w:szCs w:val="44"/>
        </w:rPr>
        <w:t>）整改工作完成情况</w:t>
      </w:r>
    </w:p>
    <w:tbl>
      <w:tblPr>
        <w:tblStyle w:val="a7"/>
        <w:tblW w:w="14125" w:type="dxa"/>
        <w:tblLayout w:type="fixed"/>
        <w:tblLook w:val="04A0" w:firstRow="1" w:lastRow="0" w:firstColumn="1" w:lastColumn="0" w:noHBand="0" w:noVBand="1"/>
      </w:tblPr>
      <w:tblGrid>
        <w:gridCol w:w="840"/>
        <w:gridCol w:w="1532"/>
        <w:gridCol w:w="2668"/>
        <w:gridCol w:w="2265"/>
        <w:gridCol w:w="2400"/>
        <w:gridCol w:w="4420"/>
      </w:tblGrid>
      <w:tr w:rsidR="00CF5CB0">
        <w:trPr>
          <w:trHeight w:val="712"/>
          <w:tblHeader/>
        </w:trPr>
        <w:tc>
          <w:tcPr>
            <w:tcW w:w="840" w:type="dxa"/>
            <w:vAlign w:val="center"/>
          </w:tcPr>
          <w:p w:rsidR="00CF5CB0" w:rsidRDefault="00A55707">
            <w:pPr>
              <w:spacing w:line="320" w:lineRule="exact"/>
              <w:jc w:val="center"/>
              <w:rPr>
                <w:rFonts w:ascii="黑体" w:eastAsia="黑体" w:hAnsi="黑体"/>
                <w:sz w:val="28"/>
                <w:szCs w:val="28"/>
              </w:rPr>
            </w:pPr>
            <w:r>
              <w:rPr>
                <w:rFonts w:ascii="黑体" w:eastAsia="黑体" w:hAnsi="黑体" w:hint="eastAsia"/>
                <w:sz w:val="28"/>
                <w:szCs w:val="28"/>
              </w:rPr>
              <w:t>问题编号</w:t>
            </w:r>
          </w:p>
        </w:tc>
        <w:tc>
          <w:tcPr>
            <w:tcW w:w="1532" w:type="dxa"/>
            <w:vAlign w:val="center"/>
          </w:tcPr>
          <w:p w:rsidR="00CF5CB0" w:rsidRDefault="00A55707">
            <w:pPr>
              <w:spacing w:line="320" w:lineRule="exact"/>
              <w:jc w:val="center"/>
              <w:rPr>
                <w:rFonts w:ascii="黑体" w:eastAsia="黑体" w:hAnsi="黑体"/>
                <w:sz w:val="28"/>
                <w:szCs w:val="28"/>
              </w:rPr>
            </w:pPr>
            <w:r>
              <w:rPr>
                <w:rFonts w:ascii="黑体" w:eastAsia="黑体" w:hAnsi="黑体" w:hint="eastAsia"/>
                <w:sz w:val="28"/>
                <w:szCs w:val="28"/>
              </w:rPr>
              <w:t>问题类型</w:t>
            </w:r>
          </w:p>
        </w:tc>
        <w:tc>
          <w:tcPr>
            <w:tcW w:w="2668" w:type="dxa"/>
            <w:vAlign w:val="center"/>
          </w:tcPr>
          <w:p w:rsidR="00CF5CB0" w:rsidRDefault="00A55707">
            <w:pPr>
              <w:spacing w:line="320" w:lineRule="exact"/>
              <w:jc w:val="center"/>
              <w:rPr>
                <w:rFonts w:ascii="黑体" w:eastAsia="黑体" w:hAnsi="黑体"/>
                <w:sz w:val="28"/>
                <w:szCs w:val="28"/>
              </w:rPr>
            </w:pPr>
            <w:r>
              <w:rPr>
                <w:rFonts w:ascii="黑体" w:eastAsia="黑体" w:hAnsi="黑体" w:hint="eastAsia"/>
                <w:sz w:val="28"/>
                <w:szCs w:val="28"/>
              </w:rPr>
              <w:t>反馈问题</w:t>
            </w:r>
          </w:p>
        </w:tc>
        <w:tc>
          <w:tcPr>
            <w:tcW w:w="2265" w:type="dxa"/>
            <w:vAlign w:val="center"/>
          </w:tcPr>
          <w:p w:rsidR="00CF5CB0" w:rsidRDefault="00A55707">
            <w:pPr>
              <w:spacing w:line="320" w:lineRule="exact"/>
              <w:jc w:val="center"/>
              <w:rPr>
                <w:rFonts w:ascii="黑体" w:eastAsia="黑体" w:hAnsi="黑体"/>
                <w:sz w:val="28"/>
                <w:szCs w:val="28"/>
              </w:rPr>
            </w:pPr>
            <w:r>
              <w:rPr>
                <w:rFonts w:ascii="黑体" w:eastAsia="黑体" w:hAnsi="黑体" w:hint="eastAsia"/>
                <w:sz w:val="28"/>
                <w:szCs w:val="28"/>
              </w:rPr>
              <w:t>整改目标</w:t>
            </w:r>
          </w:p>
        </w:tc>
        <w:tc>
          <w:tcPr>
            <w:tcW w:w="2400" w:type="dxa"/>
            <w:vAlign w:val="center"/>
          </w:tcPr>
          <w:p w:rsidR="00CF5CB0" w:rsidRDefault="00A55707">
            <w:pPr>
              <w:spacing w:line="320" w:lineRule="exact"/>
              <w:jc w:val="center"/>
              <w:rPr>
                <w:rFonts w:ascii="黑体" w:eastAsia="黑体" w:hAnsi="黑体"/>
                <w:sz w:val="28"/>
                <w:szCs w:val="28"/>
              </w:rPr>
            </w:pPr>
            <w:r>
              <w:rPr>
                <w:rFonts w:ascii="黑体" w:eastAsia="黑体" w:hAnsi="黑体" w:hint="eastAsia"/>
                <w:sz w:val="28"/>
                <w:szCs w:val="28"/>
              </w:rPr>
              <w:t>整改措施</w:t>
            </w:r>
          </w:p>
        </w:tc>
        <w:tc>
          <w:tcPr>
            <w:tcW w:w="4420" w:type="dxa"/>
            <w:vAlign w:val="center"/>
          </w:tcPr>
          <w:p w:rsidR="00CF5CB0" w:rsidRDefault="00A55707">
            <w:pPr>
              <w:spacing w:line="320" w:lineRule="exact"/>
              <w:jc w:val="center"/>
              <w:rPr>
                <w:rFonts w:ascii="黑体" w:eastAsia="黑体" w:hAnsi="黑体"/>
                <w:sz w:val="28"/>
                <w:szCs w:val="28"/>
              </w:rPr>
            </w:pPr>
            <w:r>
              <w:rPr>
                <w:rFonts w:ascii="黑体" w:eastAsia="黑体" w:hAnsi="黑体" w:hint="eastAsia"/>
                <w:sz w:val="28"/>
                <w:szCs w:val="28"/>
              </w:rPr>
              <w:t>整改完成情况</w:t>
            </w:r>
          </w:p>
        </w:tc>
      </w:tr>
      <w:tr w:rsidR="00CF5CB0">
        <w:trPr>
          <w:trHeight w:val="975"/>
        </w:trPr>
        <w:tc>
          <w:tcPr>
            <w:tcW w:w="840" w:type="dxa"/>
            <w:vAlign w:val="center"/>
          </w:tcPr>
          <w:p w:rsidR="00CF5CB0" w:rsidRDefault="00A55707">
            <w:pPr>
              <w:spacing w:line="360" w:lineRule="exact"/>
              <w:jc w:val="center"/>
              <w:rPr>
                <w:rFonts w:ascii="仿宋_GB2312" w:eastAsia="仿宋_GB2312" w:hAnsi="仿宋_GB2312" w:cs="仿宋_GB2312"/>
              </w:rPr>
            </w:pPr>
            <w:r>
              <w:rPr>
                <w:rFonts w:ascii="仿宋_GB2312" w:eastAsia="仿宋_GB2312" w:hAnsi="仿宋_GB2312" w:cs="仿宋_GB2312" w:hint="eastAsia"/>
              </w:rPr>
              <w:t>编号</w:t>
            </w:r>
            <w:r>
              <w:rPr>
                <w:rFonts w:ascii="仿宋_GB2312" w:eastAsia="仿宋_GB2312" w:hAnsi="仿宋_GB2312" w:cs="仿宋_GB2312" w:hint="eastAsia"/>
              </w:rPr>
              <w:t>27</w:t>
            </w:r>
          </w:p>
        </w:tc>
        <w:tc>
          <w:tcPr>
            <w:tcW w:w="1532" w:type="dxa"/>
            <w:vMerge w:val="restart"/>
            <w:vAlign w:val="center"/>
          </w:tcPr>
          <w:p w:rsidR="00CF5CB0" w:rsidRDefault="00A55707">
            <w:pPr>
              <w:spacing w:line="280" w:lineRule="exac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海域使用审批不规范，监管不到位</w:t>
            </w:r>
            <w:r>
              <w:rPr>
                <w:rFonts w:ascii="仿宋_GB2312" w:eastAsia="仿宋_GB2312" w:hAnsi="仿宋_GB2312" w:cs="仿宋_GB2312" w:hint="eastAsia"/>
                <w:color w:val="000000" w:themeColor="text1"/>
              </w:rPr>
              <w:t>。</w:t>
            </w:r>
          </w:p>
          <w:p w:rsidR="00CF5CB0" w:rsidRDefault="00CF5CB0">
            <w:pPr>
              <w:spacing w:line="280" w:lineRule="exact"/>
              <w:rPr>
                <w:rFonts w:ascii="仿宋_GB2312" w:eastAsia="仿宋_GB2312" w:hAnsi="仿宋_GB2312" w:cs="仿宋_GB2312"/>
              </w:rPr>
            </w:pPr>
          </w:p>
        </w:tc>
        <w:tc>
          <w:tcPr>
            <w:tcW w:w="2668" w:type="dxa"/>
            <w:vAlign w:val="center"/>
          </w:tcPr>
          <w:p w:rsidR="00CF5CB0" w:rsidRDefault="00A55707">
            <w:pPr>
              <w:spacing w:line="280" w:lineRule="exact"/>
              <w:rPr>
                <w:rFonts w:ascii="仿宋_GB2312" w:eastAsia="仿宋_GB2312" w:hAnsi="仿宋_GB2312" w:cs="仿宋_GB2312"/>
              </w:rPr>
            </w:pPr>
            <w:r>
              <w:rPr>
                <w:rFonts w:ascii="Times New Roman" w:eastAsia="仿宋_GB2312" w:hAnsi="Times New Roman" w:cs="Times New Roman"/>
                <w:color w:val="000000" w:themeColor="text1"/>
              </w:rPr>
              <w:t>2012</w:t>
            </w:r>
            <w:r>
              <w:rPr>
                <w:rFonts w:ascii="Times New Roman" w:eastAsia="仿宋_GB2312" w:hAnsi="Times New Roman" w:cs="Times New Roman"/>
                <w:color w:val="000000" w:themeColor="text1"/>
              </w:rPr>
              <w:t>年以来，宁波市在陆域范围内批准围填海项目</w:t>
            </w:r>
            <w:r>
              <w:rPr>
                <w:rFonts w:ascii="Times New Roman" w:eastAsia="仿宋_GB2312" w:hAnsi="Times New Roman" w:cs="Times New Roman"/>
                <w:color w:val="000000" w:themeColor="text1"/>
              </w:rPr>
              <w:t>48</w:t>
            </w:r>
            <w:r>
              <w:rPr>
                <w:rFonts w:ascii="Times New Roman" w:eastAsia="仿宋_GB2312" w:hAnsi="Times New Roman" w:cs="Times New Roman"/>
                <w:color w:val="000000" w:themeColor="text1"/>
              </w:rPr>
              <w:t>个，面积</w:t>
            </w:r>
            <w:r>
              <w:rPr>
                <w:rFonts w:ascii="Times New Roman" w:eastAsia="仿宋_GB2312" w:hAnsi="Times New Roman" w:cs="Times New Roman"/>
                <w:color w:val="000000" w:themeColor="text1"/>
              </w:rPr>
              <w:t>1703.45</w:t>
            </w:r>
            <w:r>
              <w:rPr>
                <w:rFonts w:ascii="Times New Roman" w:eastAsia="仿宋_GB2312" w:hAnsi="Times New Roman" w:cs="Times New Roman"/>
                <w:color w:val="000000" w:themeColor="text1"/>
              </w:rPr>
              <w:t>公顷。</w:t>
            </w:r>
          </w:p>
        </w:tc>
        <w:tc>
          <w:tcPr>
            <w:tcW w:w="2265" w:type="dxa"/>
            <w:vMerge w:val="restart"/>
            <w:vAlign w:val="center"/>
          </w:tcPr>
          <w:p w:rsidR="00CF5CB0" w:rsidRDefault="00A55707">
            <w:pPr>
              <w:spacing w:line="280" w:lineRule="exact"/>
              <w:rPr>
                <w:rFonts w:ascii="仿宋_GB2312" w:eastAsia="仿宋_GB2312" w:hAnsi="仿宋_GB2312" w:cs="仿宋_GB2312"/>
              </w:rPr>
            </w:pPr>
            <w:r>
              <w:rPr>
                <w:rFonts w:ascii="仿宋_GB2312" w:eastAsia="仿宋_GB2312" w:hAnsi="仿宋_GB2312" w:cs="仿宋_GB2312" w:hint="eastAsia"/>
                <w:color w:val="000000" w:themeColor="text1"/>
              </w:rPr>
              <w:t>严格执行海洋功能区划和土地利用总体规划，规范用海用地管理。</w:t>
            </w:r>
          </w:p>
        </w:tc>
        <w:tc>
          <w:tcPr>
            <w:tcW w:w="2400" w:type="dxa"/>
            <w:vMerge w:val="restart"/>
            <w:vAlign w:val="center"/>
          </w:tcPr>
          <w:p w:rsidR="00CF5CB0" w:rsidRDefault="00A55707">
            <w:pPr>
              <w:spacing w:line="280" w:lineRule="exac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根据省政府意见，已于</w:t>
            </w:r>
            <w:r>
              <w:rPr>
                <w:rFonts w:ascii="Times New Roman" w:eastAsia="仿宋_GB2312" w:hAnsi="Times New Roman" w:cs="Times New Roman"/>
                <w:color w:val="000000" w:themeColor="text1"/>
              </w:rPr>
              <w:t>2016</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6</w:t>
            </w:r>
            <w:r>
              <w:rPr>
                <w:rFonts w:ascii="Times New Roman" w:eastAsia="仿宋_GB2312" w:hAnsi="Times New Roman" w:cs="Times New Roman"/>
                <w:color w:val="000000" w:themeColor="text1"/>
              </w:rPr>
              <w:t>月全面停止本轮海洋功能区划外项目用海的审批。</w:t>
            </w:r>
          </w:p>
          <w:p w:rsidR="00CF5CB0" w:rsidRDefault="00A55707">
            <w:pPr>
              <w:spacing w:line="280" w:lineRule="exac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对未纳入土地利用总体规划的空间依法纳入下一轮土地利用总体规划。</w:t>
            </w:r>
          </w:p>
          <w:p w:rsidR="00CF5CB0" w:rsidRDefault="00A55707">
            <w:pPr>
              <w:spacing w:line="280" w:lineRule="exact"/>
              <w:rPr>
                <w:rFonts w:ascii="仿宋_GB2312" w:eastAsia="仿宋_GB2312" w:hAnsi="仿宋_GB2312" w:cs="仿宋_GB2312"/>
              </w:rPr>
            </w:pPr>
            <w:r>
              <w:rPr>
                <w:rFonts w:ascii="Times New Roman" w:eastAsia="仿宋_GB2312" w:hAnsi="Times New Roman" w:cs="Times New Roman"/>
                <w:color w:val="000000" w:themeColor="text1"/>
              </w:rPr>
              <w:t>3.</w:t>
            </w:r>
            <w:r>
              <w:rPr>
                <w:rFonts w:ascii="Times New Roman" w:eastAsia="仿宋_GB2312" w:hAnsi="Times New Roman" w:cs="Times New Roman"/>
                <w:color w:val="000000" w:themeColor="text1"/>
              </w:rPr>
              <w:t>按</w:t>
            </w:r>
            <w:r>
              <w:rPr>
                <w:rFonts w:ascii="仿宋_GB2312" w:eastAsia="仿宋_GB2312" w:hAnsi="仿宋_GB2312" w:cs="仿宋_GB2312" w:hint="eastAsia"/>
                <w:color w:val="000000" w:themeColor="text1"/>
              </w:rPr>
              <w:t>照“多规合一”的要求，进一步做好海洋功能区划与土地利用总体规划的衔接。</w:t>
            </w:r>
          </w:p>
        </w:tc>
        <w:tc>
          <w:tcPr>
            <w:tcW w:w="4420" w:type="dxa"/>
            <w:vMerge w:val="restart"/>
            <w:vAlign w:val="center"/>
          </w:tcPr>
          <w:p w:rsidR="00CF5CB0" w:rsidRDefault="00A55707">
            <w:pPr>
              <w:spacing w:line="280" w:lineRule="exact"/>
              <w:rPr>
                <w:rFonts w:ascii="仿宋_GB2312" w:eastAsia="仿宋_GB2312" w:hAnsi="仿宋_GB2312" w:cs="仿宋_GB2312"/>
                <w:color w:val="000000" w:themeColor="text1"/>
              </w:rPr>
            </w:pPr>
            <w:r>
              <w:rPr>
                <w:rFonts w:ascii="仿宋_GB2312" w:eastAsia="仿宋_GB2312" w:hAnsi="仿宋_GB2312" w:cs="仿宋_GB2312"/>
                <w:color w:val="000000" w:themeColor="text1"/>
              </w:rPr>
              <w:t xml:space="preserve">1. </w:t>
            </w:r>
            <w:r>
              <w:rPr>
                <w:rFonts w:ascii="仿宋_GB2312" w:eastAsia="仿宋_GB2312" w:hAnsi="仿宋_GB2312" w:cs="仿宋_GB2312"/>
                <w:color w:val="000000" w:themeColor="text1"/>
              </w:rPr>
              <w:t>已全面停止本轮海洋功能区划外项目用海的审批。</w:t>
            </w:r>
          </w:p>
          <w:p w:rsidR="00CF5CB0" w:rsidRDefault="00A55707">
            <w:pPr>
              <w:spacing w:line="280" w:lineRule="exact"/>
              <w:rPr>
                <w:rFonts w:ascii="仿宋_GB2312" w:eastAsia="仿宋_GB2312" w:hAnsi="仿宋_GB2312" w:cs="仿宋_GB2312"/>
                <w:color w:val="000000" w:themeColor="text1"/>
              </w:rPr>
            </w:pPr>
            <w:r>
              <w:rPr>
                <w:rFonts w:ascii="仿宋_GB2312" w:eastAsia="仿宋_GB2312" w:hAnsi="仿宋_GB2312" w:cs="仿宋_GB2312"/>
                <w:color w:val="000000" w:themeColor="text1"/>
              </w:rPr>
              <w:t xml:space="preserve">2. </w:t>
            </w:r>
            <w:r>
              <w:rPr>
                <w:rFonts w:ascii="仿宋_GB2312" w:eastAsia="仿宋_GB2312" w:hAnsi="仿宋_GB2312" w:cs="仿宋_GB2312"/>
                <w:color w:val="000000" w:themeColor="text1"/>
              </w:rPr>
              <w:t>按照</w:t>
            </w:r>
            <w:r>
              <w:rPr>
                <w:rFonts w:ascii="仿宋_GB2312" w:eastAsia="仿宋_GB2312" w:hAnsi="仿宋_GB2312" w:cs="仿宋_GB2312"/>
                <w:color w:val="000000" w:themeColor="text1"/>
              </w:rPr>
              <w:t>“</w:t>
            </w:r>
            <w:r>
              <w:rPr>
                <w:rFonts w:ascii="仿宋_GB2312" w:eastAsia="仿宋_GB2312" w:hAnsi="仿宋_GB2312" w:cs="仿宋_GB2312"/>
                <w:color w:val="000000" w:themeColor="text1"/>
              </w:rPr>
              <w:t>多规合一</w:t>
            </w:r>
            <w:r>
              <w:rPr>
                <w:rFonts w:ascii="仿宋_GB2312" w:eastAsia="仿宋_GB2312" w:hAnsi="仿宋_GB2312" w:cs="仿宋_GB2312"/>
                <w:color w:val="000000" w:themeColor="text1"/>
              </w:rPr>
              <w:t>”</w:t>
            </w:r>
            <w:r>
              <w:rPr>
                <w:rFonts w:ascii="仿宋_GB2312" w:eastAsia="仿宋_GB2312" w:hAnsi="仿宋_GB2312" w:cs="仿宋_GB2312"/>
                <w:color w:val="000000" w:themeColor="text1"/>
              </w:rPr>
              <w:t>的要求，开展国土空间规划、海岸带保护与利用规划编制，加强海陆统筹，明确海岸带地区重点区域、开发时序、开发强度，细化管控措施。</w:t>
            </w:r>
          </w:p>
          <w:p w:rsidR="00CF5CB0" w:rsidRDefault="00A55707">
            <w:pPr>
              <w:spacing w:line="280" w:lineRule="exact"/>
              <w:rPr>
                <w:rFonts w:ascii="仿宋_GB2312" w:eastAsia="仿宋_GB2312" w:hAnsi="仿宋_GB2312" w:cs="仿宋_GB2312"/>
                <w:color w:val="000000" w:themeColor="text1"/>
              </w:rPr>
            </w:pPr>
            <w:r>
              <w:rPr>
                <w:rFonts w:ascii="仿宋_GB2312" w:eastAsia="仿宋_GB2312" w:hAnsi="仿宋_GB2312" w:cs="仿宋_GB2312"/>
                <w:color w:val="000000" w:themeColor="text1"/>
              </w:rPr>
              <w:t>3.</w:t>
            </w:r>
            <w:r>
              <w:rPr>
                <w:rFonts w:ascii="仿宋_GB2312" w:eastAsia="仿宋_GB2312" w:hAnsi="仿宋_GB2312" w:cs="仿宋_GB2312"/>
                <w:color w:val="000000" w:themeColor="text1"/>
              </w:rPr>
              <w:t>印发《浙江省海洋重点领域监管工作的方案》，并将海域使用权审批纳入重点监管事项。</w:t>
            </w:r>
          </w:p>
          <w:p w:rsidR="00CF5CB0" w:rsidRDefault="00A55707">
            <w:pPr>
              <w:spacing w:line="280" w:lineRule="exact"/>
              <w:rPr>
                <w:rFonts w:ascii="仿宋_GB2312" w:eastAsia="仿宋_GB2312" w:hAnsi="仿宋_GB2312" w:cs="仿宋_GB2312"/>
              </w:rPr>
            </w:pPr>
            <w:r>
              <w:rPr>
                <w:rFonts w:ascii="仿宋_GB2312" w:eastAsia="仿宋_GB2312" w:hAnsi="仿宋_GB2312" w:cs="仿宋_GB2312"/>
                <w:color w:val="000000" w:themeColor="text1"/>
              </w:rPr>
              <w:t>4.</w:t>
            </w:r>
            <w:r>
              <w:rPr>
                <w:rFonts w:ascii="仿宋_GB2312" w:eastAsia="仿宋_GB2312" w:hAnsi="仿宋_GB2312" w:cs="仿宋_GB2312"/>
                <w:color w:val="000000" w:themeColor="text1"/>
              </w:rPr>
              <w:t>印发《海域使用审核材料、流程、要点标准清单》及其操作手册，加强各类用海审查，规范用海审批流程。</w:t>
            </w:r>
          </w:p>
        </w:tc>
      </w:tr>
      <w:tr w:rsidR="00CF5CB0">
        <w:trPr>
          <w:trHeight w:val="975"/>
        </w:trPr>
        <w:tc>
          <w:tcPr>
            <w:tcW w:w="840" w:type="dxa"/>
            <w:vAlign w:val="center"/>
          </w:tcPr>
          <w:p w:rsidR="00CF5CB0" w:rsidRDefault="00A55707">
            <w:pPr>
              <w:spacing w:line="360" w:lineRule="exact"/>
              <w:jc w:val="center"/>
              <w:rPr>
                <w:rFonts w:ascii="仿宋_GB2312" w:eastAsia="仿宋_GB2312" w:hAnsi="仿宋_GB2312" w:cs="仿宋_GB2312"/>
              </w:rPr>
            </w:pPr>
            <w:r>
              <w:rPr>
                <w:rFonts w:ascii="仿宋_GB2312" w:eastAsia="仿宋_GB2312" w:hAnsi="仿宋_GB2312" w:cs="仿宋_GB2312" w:hint="eastAsia"/>
              </w:rPr>
              <w:t>编号</w:t>
            </w:r>
            <w:r>
              <w:rPr>
                <w:rFonts w:ascii="仿宋_GB2312" w:eastAsia="仿宋_GB2312" w:hAnsi="仿宋_GB2312" w:cs="仿宋_GB2312" w:hint="eastAsia"/>
              </w:rPr>
              <w:t>28</w:t>
            </w:r>
          </w:p>
        </w:tc>
        <w:tc>
          <w:tcPr>
            <w:tcW w:w="1532" w:type="dxa"/>
            <w:vMerge/>
            <w:vAlign w:val="center"/>
          </w:tcPr>
          <w:p w:rsidR="00CF5CB0" w:rsidRDefault="00CF5CB0">
            <w:pPr>
              <w:spacing w:line="360" w:lineRule="exact"/>
              <w:rPr>
                <w:rFonts w:ascii="仿宋_GB2312" w:eastAsia="仿宋_GB2312" w:hAnsi="仿宋_GB2312" w:cs="仿宋_GB2312"/>
              </w:rPr>
            </w:pPr>
          </w:p>
        </w:tc>
        <w:tc>
          <w:tcPr>
            <w:tcW w:w="2668" w:type="dxa"/>
            <w:vAlign w:val="center"/>
          </w:tcPr>
          <w:p w:rsidR="00CF5CB0" w:rsidRDefault="00A55707">
            <w:pPr>
              <w:spacing w:line="280" w:lineRule="exact"/>
              <w:rPr>
                <w:rFonts w:ascii="仿宋_GB2312" w:eastAsia="仿宋_GB2312" w:hAnsi="仿宋_GB2312" w:cs="仿宋_GB2312"/>
              </w:rPr>
            </w:pPr>
            <w:r>
              <w:rPr>
                <w:rFonts w:ascii="仿宋_GB2312" w:eastAsia="仿宋_GB2312" w:hAnsi="仿宋_GB2312" w:cs="仿宋_GB2312" w:hint="eastAsia"/>
                <w:color w:val="000000" w:themeColor="text1"/>
              </w:rPr>
              <w:t>2012</w:t>
            </w:r>
            <w:r>
              <w:rPr>
                <w:rFonts w:ascii="仿宋_GB2312" w:eastAsia="仿宋_GB2312" w:hAnsi="仿宋_GB2312" w:cs="仿宋_GB2312" w:hint="eastAsia"/>
                <w:color w:val="000000" w:themeColor="text1"/>
              </w:rPr>
              <w:t>年以来，温州市在陆域范围内批准围填海项目</w:t>
            </w:r>
            <w:r>
              <w:rPr>
                <w:rFonts w:ascii="仿宋_GB2312" w:eastAsia="仿宋_GB2312" w:hAnsi="仿宋_GB2312" w:cs="仿宋_GB2312" w:hint="eastAsia"/>
                <w:color w:val="000000" w:themeColor="text1"/>
              </w:rPr>
              <w:t>3</w:t>
            </w:r>
            <w:r>
              <w:rPr>
                <w:rFonts w:ascii="仿宋_GB2312" w:eastAsia="仿宋_GB2312" w:hAnsi="仿宋_GB2312" w:cs="仿宋_GB2312" w:hint="eastAsia"/>
                <w:color w:val="000000" w:themeColor="text1"/>
              </w:rPr>
              <w:t>个，面积</w:t>
            </w:r>
            <w:r>
              <w:rPr>
                <w:rFonts w:ascii="仿宋_GB2312" w:eastAsia="仿宋_GB2312" w:hAnsi="仿宋_GB2312" w:cs="仿宋_GB2312" w:hint="eastAsia"/>
                <w:color w:val="000000" w:themeColor="text1"/>
              </w:rPr>
              <w:t>71.23</w:t>
            </w:r>
            <w:r>
              <w:rPr>
                <w:rFonts w:ascii="仿宋_GB2312" w:eastAsia="仿宋_GB2312" w:hAnsi="仿宋_GB2312" w:cs="仿宋_GB2312" w:hint="eastAsia"/>
                <w:color w:val="000000" w:themeColor="text1"/>
              </w:rPr>
              <w:t>公顷。</w:t>
            </w:r>
          </w:p>
        </w:tc>
        <w:tc>
          <w:tcPr>
            <w:tcW w:w="2265" w:type="dxa"/>
            <w:vMerge/>
            <w:vAlign w:val="center"/>
          </w:tcPr>
          <w:p w:rsidR="00CF5CB0" w:rsidRDefault="00CF5CB0">
            <w:pPr>
              <w:spacing w:line="280" w:lineRule="exact"/>
              <w:jc w:val="left"/>
              <w:rPr>
                <w:rFonts w:ascii="仿宋_GB2312" w:eastAsia="仿宋_GB2312" w:hAnsi="仿宋_GB2312" w:cs="仿宋_GB2312"/>
              </w:rPr>
            </w:pPr>
          </w:p>
        </w:tc>
        <w:tc>
          <w:tcPr>
            <w:tcW w:w="2400" w:type="dxa"/>
            <w:vMerge/>
            <w:vAlign w:val="center"/>
          </w:tcPr>
          <w:p w:rsidR="00CF5CB0" w:rsidRDefault="00CF5CB0">
            <w:pPr>
              <w:spacing w:line="280" w:lineRule="exact"/>
              <w:rPr>
                <w:rFonts w:ascii="仿宋_GB2312" w:eastAsia="仿宋_GB2312" w:hAnsi="仿宋_GB2312" w:cs="仿宋_GB2312"/>
              </w:rPr>
            </w:pPr>
          </w:p>
        </w:tc>
        <w:tc>
          <w:tcPr>
            <w:tcW w:w="4420" w:type="dxa"/>
            <w:vMerge/>
            <w:vAlign w:val="center"/>
          </w:tcPr>
          <w:p w:rsidR="00CF5CB0" w:rsidRDefault="00CF5CB0">
            <w:pPr>
              <w:spacing w:line="240" w:lineRule="exact"/>
              <w:jc w:val="left"/>
              <w:rPr>
                <w:rFonts w:ascii="仿宋_GB2312" w:eastAsia="仿宋_GB2312" w:hAnsi="仿宋_GB2312" w:cs="仿宋_GB2312"/>
              </w:rPr>
            </w:pPr>
          </w:p>
        </w:tc>
      </w:tr>
      <w:tr w:rsidR="00CF5CB0">
        <w:trPr>
          <w:trHeight w:val="975"/>
        </w:trPr>
        <w:tc>
          <w:tcPr>
            <w:tcW w:w="840" w:type="dxa"/>
            <w:vAlign w:val="center"/>
          </w:tcPr>
          <w:p w:rsidR="00CF5CB0" w:rsidRDefault="00A55707">
            <w:pPr>
              <w:spacing w:line="360" w:lineRule="exact"/>
              <w:jc w:val="center"/>
              <w:rPr>
                <w:rFonts w:ascii="仿宋_GB2312" w:eastAsia="仿宋_GB2312" w:hAnsi="仿宋_GB2312" w:cs="仿宋_GB2312"/>
              </w:rPr>
            </w:pPr>
            <w:r>
              <w:rPr>
                <w:rFonts w:ascii="仿宋_GB2312" w:eastAsia="仿宋_GB2312" w:hAnsi="仿宋_GB2312" w:cs="仿宋_GB2312" w:hint="eastAsia"/>
              </w:rPr>
              <w:t>编号</w:t>
            </w:r>
            <w:r>
              <w:rPr>
                <w:rFonts w:ascii="仿宋_GB2312" w:eastAsia="仿宋_GB2312" w:hAnsi="仿宋_GB2312" w:cs="仿宋_GB2312" w:hint="eastAsia"/>
              </w:rPr>
              <w:t>29</w:t>
            </w:r>
          </w:p>
        </w:tc>
        <w:tc>
          <w:tcPr>
            <w:tcW w:w="1532" w:type="dxa"/>
            <w:vMerge/>
            <w:vAlign w:val="center"/>
          </w:tcPr>
          <w:p w:rsidR="00CF5CB0" w:rsidRDefault="00CF5CB0">
            <w:pPr>
              <w:spacing w:line="280" w:lineRule="exact"/>
              <w:rPr>
                <w:rFonts w:ascii="仿宋_GB2312" w:eastAsia="仿宋_GB2312" w:hAnsi="仿宋_GB2312" w:cs="仿宋_GB2312"/>
              </w:rPr>
            </w:pPr>
          </w:p>
        </w:tc>
        <w:tc>
          <w:tcPr>
            <w:tcW w:w="2668" w:type="dxa"/>
            <w:vAlign w:val="center"/>
          </w:tcPr>
          <w:p w:rsidR="00CF5CB0" w:rsidRDefault="00A55707">
            <w:pPr>
              <w:spacing w:line="280" w:lineRule="exact"/>
              <w:rPr>
                <w:rFonts w:ascii="仿宋_GB2312" w:eastAsia="仿宋_GB2312" w:hAnsi="仿宋_GB2312" w:cs="仿宋_GB2312"/>
              </w:rPr>
            </w:pPr>
            <w:r>
              <w:rPr>
                <w:rFonts w:ascii="仿宋_GB2312" w:eastAsia="仿宋_GB2312" w:hAnsi="仿宋_GB2312" w:cs="仿宋_GB2312" w:hint="eastAsia"/>
                <w:color w:val="000000" w:themeColor="text1"/>
              </w:rPr>
              <w:t>2012</w:t>
            </w:r>
            <w:r>
              <w:rPr>
                <w:rFonts w:ascii="仿宋_GB2312" w:eastAsia="仿宋_GB2312" w:hAnsi="仿宋_GB2312" w:cs="仿宋_GB2312" w:hint="eastAsia"/>
                <w:color w:val="000000" w:themeColor="text1"/>
              </w:rPr>
              <w:t>年以来，嘉兴市在陆域范围内批准围填海项目</w:t>
            </w:r>
            <w:r>
              <w:rPr>
                <w:rFonts w:ascii="仿宋_GB2312" w:eastAsia="仿宋_GB2312" w:hAnsi="仿宋_GB2312" w:cs="仿宋_GB2312" w:hint="eastAsia"/>
                <w:color w:val="000000" w:themeColor="text1"/>
              </w:rPr>
              <w:t>7</w:t>
            </w:r>
            <w:r>
              <w:rPr>
                <w:rFonts w:ascii="仿宋_GB2312" w:eastAsia="仿宋_GB2312" w:hAnsi="仿宋_GB2312" w:cs="仿宋_GB2312" w:hint="eastAsia"/>
                <w:color w:val="000000" w:themeColor="text1"/>
              </w:rPr>
              <w:t>个</w:t>
            </w:r>
            <w:r>
              <w:rPr>
                <w:rFonts w:ascii="仿宋_GB2312" w:eastAsia="仿宋_GB2312" w:hAnsi="仿宋_GB2312" w:cs="仿宋_GB2312" w:hint="eastAsia"/>
                <w:color w:val="000000" w:themeColor="text1"/>
              </w:rPr>
              <w:t>。</w:t>
            </w:r>
          </w:p>
        </w:tc>
        <w:tc>
          <w:tcPr>
            <w:tcW w:w="2265" w:type="dxa"/>
            <w:vMerge/>
            <w:vAlign w:val="center"/>
          </w:tcPr>
          <w:p w:rsidR="00CF5CB0" w:rsidRDefault="00CF5CB0">
            <w:pPr>
              <w:spacing w:line="280" w:lineRule="exact"/>
              <w:jc w:val="left"/>
              <w:rPr>
                <w:rFonts w:ascii="仿宋_GB2312" w:eastAsia="仿宋_GB2312" w:hAnsi="仿宋_GB2312" w:cs="仿宋_GB2312"/>
              </w:rPr>
            </w:pPr>
          </w:p>
        </w:tc>
        <w:tc>
          <w:tcPr>
            <w:tcW w:w="2400" w:type="dxa"/>
            <w:vMerge/>
            <w:vAlign w:val="center"/>
          </w:tcPr>
          <w:p w:rsidR="00CF5CB0" w:rsidRDefault="00CF5CB0">
            <w:pPr>
              <w:spacing w:line="280" w:lineRule="exact"/>
              <w:rPr>
                <w:rFonts w:ascii="仿宋_GB2312" w:eastAsia="仿宋_GB2312" w:hAnsi="仿宋_GB2312" w:cs="仿宋_GB2312"/>
              </w:rPr>
            </w:pPr>
          </w:p>
        </w:tc>
        <w:tc>
          <w:tcPr>
            <w:tcW w:w="4420" w:type="dxa"/>
            <w:vMerge/>
            <w:vAlign w:val="center"/>
          </w:tcPr>
          <w:p w:rsidR="00CF5CB0" w:rsidRDefault="00CF5CB0">
            <w:pPr>
              <w:spacing w:line="260" w:lineRule="exact"/>
              <w:rPr>
                <w:rFonts w:ascii="仿宋_GB2312" w:eastAsia="仿宋_GB2312" w:hAnsi="仿宋_GB2312" w:cs="仿宋_GB2312"/>
              </w:rPr>
            </w:pPr>
          </w:p>
        </w:tc>
      </w:tr>
    </w:tbl>
    <w:p w:rsidR="00CF5CB0" w:rsidRDefault="00CF5CB0">
      <w:pPr>
        <w:spacing w:line="240" w:lineRule="exact"/>
        <w:jc w:val="center"/>
        <w:rPr>
          <w:rFonts w:ascii="华康简标题宋" w:eastAsia="华康简标题宋"/>
          <w:sz w:val="44"/>
          <w:szCs w:val="44"/>
        </w:rPr>
      </w:pPr>
    </w:p>
    <w:p w:rsidR="00CF5CB0" w:rsidRDefault="00CF5CB0">
      <w:pPr>
        <w:jc w:val="center"/>
        <w:rPr>
          <w:rFonts w:ascii="华康简标题宋" w:eastAsia="华康简标题宋"/>
          <w:sz w:val="44"/>
          <w:szCs w:val="44"/>
        </w:rPr>
      </w:pPr>
    </w:p>
    <w:p w:rsidR="00CF5CB0" w:rsidRDefault="00CF5CB0">
      <w:pPr>
        <w:widowControl/>
        <w:jc w:val="left"/>
        <w:rPr>
          <w:rFonts w:ascii="仿宋" w:eastAsia="仿宋" w:hAnsi="仿宋" w:cs="Times New Roman"/>
          <w:color w:val="000000" w:themeColor="text1"/>
          <w:sz w:val="32"/>
          <w:szCs w:val="32"/>
        </w:rPr>
      </w:pPr>
    </w:p>
    <w:p w:rsidR="00CF5CB0" w:rsidRDefault="00CF5CB0">
      <w:pPr>
        <w:pStyle w:val="1"/>
      </w:pPr>
    </w:p>
    <w:sectPr w:rsidR="00CF5CB0">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07" w:rsidRDefault="00A55707">
      <w:r>
        <w:separator/>
      </w:r>
    </w:p>
  </w:endnote>
  <w:endnote w:type="continuationSeparator" w:id="0">
    <w:p w:rsidR="00A55707" w:rsidRDefault="00A5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康简标题宋">
    <w:altName w:val="MS Mincho"/>
    <w:charset w:val="86"/>
    <w:family w:val="moder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88546"/>
    </w:sdtPr>
    <w:sdtEndPr/>
    <w:sdtContent>
      <w:p w:rsidR="00CF5CB0" w:rsidRDefault="00A55707">
        <w:pPr>
          <w:pStyle w:val="a5"/>
          <w:jc w:val="center"/>
        </w:pPr>
        <w:r>
          <w:fldChar w:fldCharType="begin"/>
        </w:r>
        <w:r>
          <w:instrText>PAGE   \* MERGEFORMAT</w:instrText>
        </w:r>
        <w:r>
          <w:fldChar w:fldCharType="separate"/>
        </w:r>
        <w:r w:rsidRPr="00A55707">
          <w:rPr>
            <w:noProof/>
            <w:lang w:val="zh-CN"/>
          </w:rPr>
          <w:t>-</w:t>
        </w:r>
        <w:r>
          <w:rPr>
            <w:noProof/>
          </w:rPr>
          <w:t xml:space="preserve"> 1 -</w:t>
        </w:r>
        <w:r>
          <w:fldChar w:fldCharType="end"/>
        </w:r>
      </w:p>
    </w:sdtContent>
  </w:sdt>
  <w:p w:rsidR="00CF5CB0" w:rsidRDefault="00CF5C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07" w:rsidRDefault="00A55707">
      <w:r>
        <w:separator/>
      </w:r>
    </w:p>
  </w:footnote>
  <w:footnote w:type="continuationSeparator" w:id="0">
    <w:p w:rsidR="00A55707" w:rsidRDefault="00A55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44"/>
    <w:rsid w:val="00146DF0"/>
    <w:rsid w:val="00186F09"/>
    <w:rsid w:val="00194EC3"/>
    <w:rsid w:val="001C290E"/>
    <w:rsid w:val="00280FE9"/>
    <w:rsid w:val="0028769C"/>
    <w:rsid w:val="00431810"/>
    <w:rsid w:val="004446B3"/>
    <w:rsid w:val="004825D2"/>
    <w:rsid w:val="00494D6F"/>
    <w:rsid w:val="00506B71"/>
    <w:rsid w:val="00536FF4"/>
    <w:rsid w:val="005726D6"/>
    <w:rsid w:val="006B1C3F"/>
    <w:rsid w:val="00720CF1"/>
    <w:rsid w:val="00767BFC"/>
    <w:rsid w:val="00776D4B"/>
    <w:rsid w:val="007A610C"/>
    <w:rsid w:val="007B7DB3"/>
    <w:rsid w:val="007F174C"/>
    <w:rsid w:val="007F3685"/>
    <w:rsid w:val="00A54D4A"/>
    <w:rsid w:val="00A55707"/>
    <w:rsid w:val="00A825A9"/>
    <w:rsid w:val="00AC59B8"/>
    <w:rsid w:val="00AC624C"/>
    <w:rsid w:val="00AE08DA"/>
    <w:rsid w:val="00BC2E32"/>
    <w:rsid w:val="00BD4969"/>
    <w:rsid w:val="00BF678D"/>
    <w:rsid w:val="00C27144"/>
    <w:rsid w:val="00C6423E"/>
    <w:rsid w:val="00CA6A3C"/>
    <w:rsid w:val="00CF5CB0"/>
    <w:rsid w:val="00D22645"/>
    <w:rsid w:val="00D3339C"/>
    <w:rsid w:val="00D76260"/>
    <w:rsid w:val="00DA6713"/>
    <w:rsid w:val="00DB5E1F"/>
    <w:rsid w:val="00DF5B1D"/>
    <w:rsid w:val="00EB24A0"/>
    <w:rsid w:val="00EF29C4"/>
    <w:rsid w:val="00F567CD"/>
    <w:rsid w:val="00FE0613"/>
    <w:rsid w:val="05A23907"/>
    <w:rsid w:val="06A733AD"/>
    <w:rsid w:val="07A775D7"/>
    <w:rsid w:val="0B0B2EAE"/>
    <w:rsid w:val="0E231583"/>
    <w:rsid w:val="11BF484E"/>
    <w:rsid w:val="12991560"/>
    <w:rsid w:val="13375E44"/>
    <w:rsid w:val="1AC738A2"/>
    <w:rsid w:val="1B500C19"/>
    <w:rsid w:val="1B5770D3"/>
    <w:rsid w:val="1B58509A"/>
    <w:rsid w:val="1C397426"/>
    <w:rsid w:val="1C6F09B4"/>
    <w:rsid w:val="1D0D024E"/>
    <w:rsid w:val="1D911B67"/>
    <w:rsid w:val="1EE52D4B"/>
    <w:rsid w:val="1F421E4A"/>
    <w:rsid w:val="20CE597B"/>
    <w:rsid w:val="224E6D79"/>
    <w:rsid w:val="2795628F"/>
    <w:rsid w:val="27CE5F31"/>
    <w:rsid w:val="2AEB7874"/>
    <w:rsid w:val="2B31708F"/>
    <w:rsid w:val="2C933E25"/>
    <w:rsid w:val="3042775C"/>
    <w:rsid w:val="35517E2D"/>
    <w:rsid w:val="35563385"/>
    <w:rsid w:val="37C54334"/>
    <w:rsid w:val="38241FD3"/>
    <w:rsid w:val="39E10BA2"/>
    <w:rsid w:val="3C4D4CCE"/>
    <w:rsid w:val="3D253139"/>
    <w:rsid w:val="3E96681E"/>
    <w:rsid w:val="3F0D47B1"/>
    <w:rsid w:val="3F781F14"/>
    <w:rsid w:val="402D4023"/>
    <w:rsid w:val="40F94F3F"/>
    <w:rsid w:val="423742AB"/>
    <w:rsid w:val="44EF2512"/>
    <w:rsid w:val="47494069"/>
    <w:rsid w:val="475E19E0"/>
    <w:rsid w:val="4A0D5B9B"/>
    <w:rsid w:val="4A4142F2"/>
    <w:rsid w:val="4A8003E6"/>
    <w:rsid w:val="4B1C6181"/>
    <w:rsid w:val="4B7A5601"/>
    <w:rsid w:val="4CF66CF6"/>
    <w:rsid w:val="4E7365CB"/>
    <w:rsid w:val="4F642020"/>
    <w:rsid w:val="51A73ADF"/>
    <w:rsid w:val="54FB136B"/>
    <w:rsid w:val="55F72008"/>
    <w:rsid w:val="56036A60"/>
    <w:rsid w:val="57B40C98"/>
    <w:rsid w:val="59D607DD"/>
    <w:rsid w:val="5B3D1548"/>
    <w:rsid w:val="5BF11B01"/>
    <w:rsid w:val="5E51797C"/>
    <w:rsid w:val="5F721C7B"/>
    <w:rsid w:val="623E1BA1"/>
    <w:rsid w:val="62BD734C"/>
    <w:rsid w:val="62FF79A9"/>
    <w:rsid w:val="63646844"/>
    <w:rsid w:val="63EA49D7"/>
    <w:rsid w:val="653A170F"/>
    <w:rsid w:val="6C624F04"/>
    <w:rsid w:val="6E264E86"/>
    <w:rsid w:val="6EE91473"/>
    <w:rsid w:val="702F1841"/>
    <w:rsid w:val="709D49C7"/>
    <w:rsid w:val="7625721A"/>
    <w:rsid w:val="77011288"/>
    <w:rsid w:val="77555027"/>
    <w:rsid w:val="776A5550"/>
    <w:rsid w:val="78DD2DB7"/>
    <w:rsid w:val="78F03322"/>
    <w:rsid w:val="793E3EB3"/>
    <w:rsid w:val="7DB61562"/>
    <w:rsid w:val="7E3E292A"/>
    <w:rsid w:val="7E821D5D"/>
    <w:rsid w:val="7F7F23A4"/>
    <w:rsid w:val="7F90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C5FB4-74C4-4A72-9584-A390CA9B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qFormat/>
    <w:pPr>
      <w:keepNext/>
      <w:keepLines/>
      <w:spacing w:before="340" w:after="330" w:line="576" w:lineRule="auto"/>
      <w:outlineLvl w:val="0"/>
    </w:pPr>
    <w:rPr>
      <w:rFonts w:eastAsia="黑体"/>
      <w:kern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nhideWhenUsed/>
    <w:qFormat/>
    <w:pPr>
      <w:widowControl/>
      <w:snapToGrid w:val="0"/>
      <w:spacing w:line="600" w:lineRule="exact"/>
    </w:pPr>
    <w:rPr>
      <w:rFonts w:ascii="仿宋_GB2312"/>
      <w:kern w:val="0"/>
      <w:sz w:val="32"/>
    </w:rPr>
  </w:style>
  <w:style w:type="paragraph" w:styleId="a4">
    <w:name w:val="Body Text First Indent"/>
    <w:basedOn w:val="a0"/>
    <w:uiPriority w:val="99"/>
    <w:qFormat/>
    <w:pPr>
      <w:ind w:firstLineChars="1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6"/>
    <w:uiPriority w:val="99"/>
    <w:qFormat/>
    <w:rPr>
      <w:rFonts w:ascii="Calibri" w:eastAsia="宋体" w:hAnsi="Calibri" w:cs="Calibri"/>
      <w:sz w:val="18"/>
      <w:szCs w:val="18"/>
    </w:rPr>
  </w:style>
  <w:style w:type="character" w:customStyle="1" w:styleId="Char">
    <w:name w:val="页脚 Char"/>
    <w:basedOn w:val="a1"/>
    <w:link w:val="a5"/>
    <w:uiPriority w:val="99"/>
    <w:qFormat/>
    <w:rPr>
      <w:rFonts w:ascii="Calibri" w:eastAsia="宋体" w:hAnsi="Calibri" w:cs="Calibri"/>
      <w:sz w:val="18"/>
      <w:szCs w:val="18"/>
    </w:rPr>
  </w:style>
  <w:style w:type="character" w:customStyle="1" w:styleId="font41">
    <w:name w:val="font41"/>
    <w:basedOn w:val="a1"/>
    <w:qFormat/>
    <w:rPr>
      <w:rFonts w:ascii="楷体_GB2312" w:eastAsia="楷体_GB2312" w:cs="楷体_GB2312" w:hint="eastAsia"/>
      <w:color w:val="FF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1D40D-3B55-4151-BF14-F6E840DA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毛青</dc:creator>
  <cp:lastModifiedBy>金虹</cp:lastModifiedBy>
  <cp:revision>6</cp:revision>
  <cp:lastPrinted>2019-01-18T09:12:00Z</cp:lastPrinted>
  <dcterms:created xsi:type="dcterms:W3CDTF">2019-04-10T08:17:00Z</dcterms:created>
  <dcterms:modified xsi:type="dcterms:W3CDTF">2021-01-15T04:10:00Z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