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eastAsia="仿宋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  <w:t>2021年地质灾害风险隐患汛前大排查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  <w:t>工作总结提纲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566" w:firstLineChars="177"/>
        <w:textAlignment w:val="auto"/>
        <w:rPr>
          <w:rFonts w:eastAsia="仿宋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一、组织实施情况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分述大排查工作的组织情况，参与专业技术支撑单位及组数、人数等。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二、排查工作完成情况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分述</w:t>
      </w:r>
      <w:r>
        <w:rPr>
          <w:rFonts w:ascii="Times New Roman" w:hAnsi="Times New Roman" w:eastAsia="仿宋_GB2312"/>
          <w:sz w:val="32"/>
          <w:szCs w:val="28"/>
        </w:rPr>
        <w:t>4</w:t>
      </w:r>
      <w:r>
        <w:rPr>
          <w:rFonts w:eastAsia="仿宋_GB2312"/>
          <w:sz w:val="32"/>
          <w:szCs w:val="28"/>
        </w:rPr>
        <w:t>项排查重点工作完成情况。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地质灾害防治工作落实情况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分述汛前地质灾害防治各项工作落实情况。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四、排查发现的问题及整改情况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汇总分析大排查发现的问题类型、原因。按照问题是否整改到位，分述问题立整立改和限期整改情况，包括问题类型、数量及整改措施。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五、下一步工作措施及建议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……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</w:p>
    <w:p>
      <w:pPr>
        <w:adjustRightInd w:val="0"/>
        <w:snapToGrid w:val="0"/>
        <w:spacing w:line="360" w:lineRule="auto"/>
        <w:ind w:left="2215" w:leftChars="304" w:hanging="1577" w:hangingChars="49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附表：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．</w:t>
      </w:r>
      <w:r>
        <w:rPr>
          <w:rFonts w:ascii="Times New Roman" w:hAnsi="Times New Roman" w:eastAsia="仿宋_GB2312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年地质灾害风险隐患汛前大排查工作情况统计表</w:t>
      </w:r>
    </w:p>
    <w:p>
      <w:pPr>
        <w:adjustRightInd w:val="0"/>
        <w:snapToGrid w:val="0"/>
        <w:spacing w:line="360" w:lineRule="auto"/>
        <w:ind w:firstLine="1600" w:firstLineChars="500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．</w:t>
      </w:r>
      <w:r>
        <w:rPr>
          <w:rFonts w:eastAsia="仿宋_GB2312"/>
          <w:color w:val="000000"/>
          <w:sz w:val="32"/>
          <w:szCs w:val="32"/>
        </w:rPr>
        <w:t>地质队员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“驻县进乡”</w:t>
      </w:r>
      <w:r>
        <w:rPr>
          <w:rFonts w:eastAsia="仿宋_GB2312"/>
          <w:color w:val="000000"/>
          <w:sz w:val="32"/>
          <w:szCs w:val="32"/>
        </w:rPr>
        <w:t>一览表</w:t>
      </w:r>
    </w:p>
    <w:p>
      <w:pPr>
        <w:pStyle w:val="2"/>
      </w:pPr>
    </w:p>
    <w:p>
      <w:pPr>
        <w:autoSpaceDE w:val="0"/>
        <w:autoSpaceDN w:val="0"/>
        <w:adjustRightInd w:val="0"/>
        <w:spacing w:line="360" w:lineRule="auto"/>
        <w:ind w:firstLine="566" w:firstLineChars="177"/>
        <w:jc w:val="left"/>
        <w:rPr>
          <w:rFonts w:eastAsia="黑体"/>
          <w:sz w:val="32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spacing w:line="360" w:lineRule="auto"/>
        <w:outlineLvl w:val="1"/>
        <w:rPr>
          <w:rFonts w:eastAsia="仿宋_GB2312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附表</w:t>
      </w:r>
      <w:r>
        <w:rPr>
          <w:rFonts w:ascii="Times New Roman" w:hAnsi="Times New Roman" w:eastAsia="仿宋_GB2312"/>
          <w:sz w:val="32"/>
          <w:szCs w:val="28"/>
        </w:rPr>
        <w:t>1</w:t>
      </w:r>
    </w:p>
    <w:p>
      <w:pPr>
        <w:spacing w:line="360" w:lineRule="auto"/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>2021</w:t>
      </w:r>
      <w:r>
        <w:rPr>
          <w:b/>
          <w:bCs/>
          <w:color w:val="000000"/>
          <w:kern w:val="0"/>
          <w:sz w:val="36"/>
          <w:szCs w:val="36"/>
        </w:rPr>
        <w:t>年地质灾害风险隐患汛前大排查工作情况统计表</w:t>
      </w:r>
    </w:p>
    <w:p>
      <w:pPr>
        <w:widowControl/>
        <w:ind w:firstLine="2205" w:firstLineChars="1050"/>
        <w:rPr>
          <w:rFonts w:eastAsia="仿宋"/>
          <w:color w:val="000000"/>
          <w:kern w:val="0"/>
          <w:szCs w:val="21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22"/>
        <w:gridCol w:w="1175"/>
        <w:gridCol w:w="846"/>
        <w:gridCol w:w="1269"/>
        <w:gridCol w:w="1134"/>
        <w:gridCol w:w="1559"/>
        <w:gridCol w:w="1144"/>
        <w:gridCol w:w="980"/>
        <w:gridCol w:w="322"/>
        <w:gridCol w:w="785"/>
        <w:gridCol w:w="1161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地质灾害风险隐患排查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排查组数（组）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排查人数（人）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排查点数（处）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动态变化情况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总点数（处）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风险防范区数（处）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隐患点数（处）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维护期/正在施工的地质灾害治理工程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新增风险防范区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调整风险防范区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核减风险防范区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新增隐患点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地质灾害排查发现问题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排查发现问题（个）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已完成整改（个）</w:t>
            </w: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正在整改（个）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未整改（个）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7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地质灾害防治人员及装备排查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市局内设地质灾害防治管理机构名称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从事地质灾害防治工作管理人员数量（人）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县局内设地质灾害防治管理机构个数（个）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从事地质灾害防治工作管理人员数量（人）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群测群防（网格）员数量（人）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“地灾智防”APP安装人员数量（人）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市本级专业支撑队伍名称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参与市级专业支撑人员数量（人）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县级专业支撑队伍数量（个）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“驻县进乡”地质队员数量（人）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spacing w:line="360" w:lineRule="auto"/>
        <w:outlineLvl w:val="1"/>
        <w:rPr>
          <w:rFonts w:eastAsia="仿宋_GB2312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附表</w:t>
      </w:r>
      <w:r>
        <w:rPr>
          <w:rFonts w:ascii="Times New Roman" w:hAnsi="Times New Roman" w:eastAsia="仿宋_GB2312"/>
          <w:sz w:val="32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b w:val="0"/>
          <w:bCs w:val="0"/>
          <w:color w:val="000000"/>
          <w:kern w:val="0"/>
          <w:sz w:val="36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市地质队员“驻县进乡”一览表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2288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县（市、区）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支撑服务地勘单位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联系人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360" w:lineRule="auto"/>
              <w:outlineLvl w:val="1"/>
              <w:rPr>
                <w:rFonts w:eastAsia="仿宋_GB2312"/>
                <w:sz w:val="24"/>
                <w:szCs w:val="28"/>
              </w:rPr>
            </w:pPr>
          </w:p>
        </w:tc>
      </w:tr>
    </w:tbl>
    <w:p>
      <w:pPr>
        <w:spacing w:line="360" w:lineRule="auto"/>
        <w:outlineLvl w:val="1"/>
        <w:rPr>
          <w:rFonts w:eastAsia="仿宋_GB2312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―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―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―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282"/>
    <w:multiLevelType w:val="singleLevel"/>
    <w:tmpl w:val="01ED128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54BC"/>
    <w:rsid w:val="7C6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2021-02-26T09:42:00Z</dcterms:created>
  <dc:creator>。。。</dc:creator>
  <cp:lastModifiedBy>。。。</cp:lastModifiedBy>
  <dcterms:modified xsi:type="dcterms:W3CDTF">2021-02-26T09:42:18Z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