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0" w:beforeLines="0" w:after="0" w:afterLines="0" w:line="600" w:lineRule="exact"/>
        <w:rPr>
          <w:rFonts w:hint="eastAsia" w:ascii="Times New Roman" w:eastAsia="方正小标宋简体"/>
          <w:b w:val="0"/>
          <w:sz w:val="36"/>
          <w:szCs w:val="36"/>
          <w:lang w:eastAsia="zh-CN"/>
        </w:rPr>
      </w:pPr>
    </w:p>
    <w:p>
      <w:pPr>
        <w:pStyle w:val="16"/>
        <w:spacing w:before="0" w:beforeLines="0" w:after="0" w:afterLines="0" w:line="600" w:lineRule="exact"/>
        <w:rPr>
          <w:rFonts w:ascii="Times New Roman" w:eastAsia="方正小标宋简体"/>
          <w:b w:val="0"/>
          <w:sz w:val="36"/>
          <w:szCs w:val="36"/>
        </w:rPr>
      </w:pPr>
      <w:r>
        <w:rPr>
          <w:rFonts w:hint="eastAsia" w:ascii="Times New Roman" w:eastAsia="方正小标宋简体"/>
          <w:b w:val="0"/>
          <w:sz w:val="36"/>
          <w:szCs w:val="36"/>
          <w:lang w:eastAsia="zh-CN"/>
        </w:rPr>
        <w:t>《</w:t>
      </w:r>
      <w:r>
        <w:rPr>
          <w:rFonts w:ascii="Times New Roman" w:eastAsia="方正小标宋简体"/>
          <w:b w:val="0"/>
          <w:sz w:val="36"/>
          <w:szCs w:val="36"/>
        </w:rPr>
        <w:t>关于进一步明确地质灾害防治单位资质条件认定标准的公告</w:t>
      </w:r>
      <w:r>
        <w:rPr>
          <w:rFonts w:hint="eastAsia" w:ascii="Times New Roman" w:eastAsia="方正小标宋简体"/>
          <w:b w:val="0"/>
          <w:sz w:val="36"/>
          <w:szCs w:val="36"/>
          <w:lang w:eastAsia="zh-CN"/>
        </w:rPr>
        <w:t>》征求意见汇总表</w:t>
      </w:r>
    </w:p>
    <w:tbl>
      <w:tblPr>
        <w:tblStyle w:val="10"/>
        <w:tblpPr w:leftFromText="180" w:rightFromText="180" w:vertAnchor="text" w:horzAnchor="page" w:tblpX="1609" w:tblpY="891"/>
        <w:tblOverlap w:val="never"/>
        <w:tblW w:w="475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2395"/>
        <w:gridCol w:w="1364"/>
        <w:gridCol w:w="7286"/>
        <w:gridCol w:w="1136"/>
        <w:gridCol w:w="3670"/>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1" w:type="pct"/>
            <w:vMerge w:val="restart"/>
            <w:vAlign w:val="center"/>
          </w:tcPr>
          <w:p>
            <w:pPr>
              <w:keepNext w:val="0"/>
              <w:keepLines w:val="0"/>
              <w:pageBreakBefore w:val="0"/>
              <w:widowControl/>
              <w:suppressLineNumbers w:val="0"/>
              <w:kinsoku/>
              <w:wordWrap/>
              <w:overflowPunct/>
              <w:autoSpaceDE/>
              <w:autoSpaceDN/>
              <w:bidi w:val="0"/>
              <w:spacing w:line="240" w:lineRule="atLeast"/>
              <w:ind w:left="0" w:leftChars="0" w:firstLine="0" w:firstLineChars="0"/>
              <w:jc w:val="center"/>
              <w:textAlignment w:val="center"/>
              <w:rPr>
                <w:rFonts w:hint="eastAsia" w:ascii="宋体" w:hAnsi="宋体" w:eastAsia="宋体"/>
                <w:b/>
                <w:bCs/>
                <w:sz w:val="30"/>
                <w:szCs w:val="30"/>
                <w:lang w:val="en-US" w:eastAsia="zh-CN"/>
              </w:rPr>
            </w:pPr>
            <w:r>
              <w:rPr>
                <w:rFonts w:hint="eastAsia" w:ascii="宋体" w:hAnsi="宋体" w:eastAsia="宋体"/>
                <w:b/>
                <w:bCs/>
                <w:sz w:val="30"/>
                <w:szCs w:val="30"/>
                <w:lang w:val="en-US" w:eastAsia="zh-CN"/>
              </w:rPr>
              <w:t>序号</w:t>
            </w:r>
          </w:p>
        </w:tc>
        <w:tc>
          <w:tcPr>
            <w:tcW w:w="588" w:type="pct"/>
            <w:vMerge w:val="restart"/>
            <w:vAlign w:val="center"/>
          </w:tcPr>
          <w:p>
            <w:pPr>
              <w:keepNext w:val="0"/>
              <w:keepLines w:val="0"/>
              <w:pageBreakBefore w:val="0"/>
              <w:widowControl/>
              <w:suppressLineNumbers w:val="0"/>
              <w:kinsoku/>
              <w:wordWrap/>
              <w:overflowPunct/>
              <w:autoSpaceDE/>
              <w:autoSpaceDN/>
              <w:bidi w:val="0"/>
              <w:spacing w:line="240" w:lineRule="atLeast"/>
              <w:ind w:left="0" w:leftChars="0" w:firstLine="0" w:firstLineChars="0"/>
              <w:jc w:val="center"/>
              <w:textAlignment w:val="center"/>
              <w:rPr>
                <w:rFonts w:hint="eastAsia" w:ascii="宋体" w:hAnsi="宋体" w:eastAsia="宋体"/>
                <w:b/>
                <w:bCs/>
                <w:sz w:val="30"/>
                <w:szCs w:val="30"/>
              </w:rPr>
            </w:pPr>
            <w:r>
              <w:rPr>
                <w:rFonts w:hint="eastAsia" w:ascii="宋体" w:hAnsi="宋体" w:eastAsia="宋体"/>
                <w:b/>
                <w:bCs/>
                <w:sz w:val="30"/>
                <w:szCs w:val="30"/>
              </w:rPr>
              <w:t>提出单位或个人</w:t>
            </w:r>
          </w:p>
        </w:tc>
        <w:tc>
          <w:tcPr>
            <w:tcW w:w="2403" w:type="pct"/>
            <w:gridSpan w:val="3"/>
            <w:vAlign w:val="center"/>
          </w:tcPr>
          <w:p>
            <w:pPr>
              <w:keepNext w:val="0"/>
              <w:keepLines w:val="0"/>
              <w:pageBreakBefore w:val="0"/>
              <w:widowControl/>
              <w:suppressLineNumbers w:val="0"/>
              <w:kinsoku/>
              <w:wordWrap/>
              <w:overflowPunct/>
              <w:autoSpaceDE/>
              <w:autoSpaceDN/>
              <w:bidi w:val="0"/>
              <w:spacing w:line="240" w:lineRule="atLeast"/>
              <w:ind w:left="0" w:leftChars="0" w:firstLine="0" w:firstLineChars="0"/>
              <w:jc w:val="center"/>
              <w:textAlignment w:val="center"/>
              <w:rPr>
                <w:rFonts w:hint="eastAsia" w:ascii="宋体" w:hAnsi="宋体" w:eastAsia="宋体"/>
                <w:b/>
                <w:bCs/>
                <w:sz w:val="30"/>
                <w:szCs w:val="30"/>
                <w:lang w:val="en-US" w:eastAsia="zh-CN"/>
              </w:rPr>
            </w:pPr>
            <w:r>
              <w:rPr>
                <w:rFonts w:hint="eastAsia" w:ascii="宋体" w:hAnsi="宋体" w:eastAsia="宋体"/>
                <w:b/>
                <w:bCs/>
                <w:sz w:val="30"/>
                <w:szCs w:val="30"/>
              </w:rPr>
              <w:t>反馈意见</w:t>
            </w:r>
          </w:p>
        </w:tc>
        <w:tc>
          <w:tcPr>
            <w:tcW w:w="901" w:type="pct"/>
            <w:vMerge w:val="restart"/>
            <w:vAlign w:val="center"/>
          </w:tcPr>
          <w:p>
            <w:pPr>
              <w:keepNext w:val="0"/>
              <w:keepLines w:val="0"/>
              <w:pageBreakBefore w:val="0"/>
              <w:widowControl/>
              <w:suppressLineNumbers w:val="0"/>
              <w:kinsoku/>
              <w:wordWrap/>
              <w:overflowPunct/>
              <w:autoSpaceDE/>
              <w:autoSpaceDN/>
              <w:bidi w:val="0"/>
              <w:spacing w:line="240" w:lineRule="atLeast"/>
              <w:ind w:left="0" w:leftChars="0" w:firstLine="0" w:firstLineChars="0"/>
              <w:jc w:val="center"/>
              <w:textAlignment w:val="center"/>
              <w:rPr>
                <w:rFonts w:hint="eastAsia" w:ascii="宋体" w:hAnsi="宋体" w:eastAsia="宋体"/>
                <w:b/>
                <w:bCs/>
                <w:sz w:val="30"/>
                <w:szCs w:val="30"/>
              </w:rPr>
            </w:pPr>
            <w:r>
              <w:rPr>
                <w:rFonts w:hint="eastAsia" w:ascii="宋体" w:hAnsi="宋体" w:eastAsia="宋体"/>
                <w:b/>
                <w:bCs/>
                <w:sz w:val="30"/>
                <w:szCs w:val="30"/>
              </w:rPr>
              <w:t>修改后文本</w:t>
            </w:r>
          </w:p>
        </w:tc>
        <w:tc>
          <w:tcPr>
            <w:tcW w:w="954" w:type="pct"/>
            <w:vMerge w:val="restart"/>
            <w:vAlign w:val="center"/>
          </w:tcPr>
          <w:p>
            <w:pPr>
              <w:keepNext w:val="0"/>
              <w:keepLines w:val="0"/>
              <w:pageBreakBefore w:val="0"/>
              <w:widowControl/>
              <w:suppressLineNumbers w:val="0"/>
              <w:kinsoku/>
              <w:wordWrap/>
              <w:overflowPunct/>
              <w:autoSpaceDE/>
              <w:autoSpaceDN/>
              <w:bidi w:val="0"/>
              <w:spacing w:line="240" w:lineRule="atLeast"/>
              <w:ind w:left="0" w:leftChars="0" w:firstLine="0" w:firstLineChars="0"/>
              <w:jc w:val="center"/>
              <w:textAlignment w:val="center"/>
              <w:rPr>
                <w:rFonts w:hint="eastAsia" w:ascii="宋体" w:hAnsi="宋体" w:eastAsia="宋体"/>
                <w:b/>
                <w:bCs/>
                <w:sz w:val="30"/>
                <w:szCs w:val="30"/>
              </w:rPr>
            </w:pPr>
            <w:r>
              <w:rPr>
                <w:rFonts w:hint="eastAsia" w:ascii="宋体" w:hAnsi="宋体" w:eastAsia="宋体"/>
                <w:b/>
                <w:bCs/>
                <w:sz w:val="30"/>
                <w:szCs w:val="30"/>
              </w:rPr>
              <w:t>未采纳理由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1" w:type="pct"/>
            <w:vMerge w:val="continue"/>
            <w:vAlign w:val="center"/>
          </w:tcPr>
          <w:p>
            <w:pPr>
              <w:keepNext w:val="0"/>
              <w:keepLines w:val="0"/>
              <w:pageBreakBefore w:val="0"/>
              <w:widowControl/>
              <w:suppressLineNumbers w:val="0"/>
              <w:kinsoku/>
              <w:wordWrap/>
              <w:overflowPunct/>
              <w:autoSpaceDE/>
              <w:autoSpaceDN/>
              <w:bidi w:val="0"/>
              <w:spacing w:line="240" w:lineRule="atLeast"/>
              <w:ind w:left="0" w:leftChars="0" w:firstLine="0" w:firstLineChars="0"/>
              <w:jc w:val="center"/>
              <w:textAlignment w:val="center"/>
              <w:rPr>
                <w:rFonts w:hint="default" w:ascii="宋体" w:hAnsi="宋体" w:eastAsia="宋体"/>
                <w:sz w:val="30"/>
                <w:szCs w:val="30"/>
                <w:lang w:val="en-US" w:eastAsia="zh-CN"/>
              </w:rPr>
            </w:pPr>
          </w:p>
        </w:tc>
        <w:tc>
          <w:tcPr>
            <w:tcW w:w="588" w:type="pct"/>
            <w:vMerge w:val="continue"/>
            <w:vAlign w:val="center"/>
          </w:tcPr>
          <w:p>
            <w:pPr>
              <w:keepNext w:val="0"/>
              <w:keepLines w:val="0"/>
              <w:pageBreakBefore w:val="0"/>
              <w:widowControl/>
              <w:suppressLineNumbers w:val="0"/>
              <w:kinsoku/>
              <w:wordWrap/>
              <w:overflowPunct/>
              <w:autoSpaceDE/>
              <w:autoSpaceDN/>
              <w:bidi w:val="0"/>
              <w:spacing w:line="240" w:lineRule="atLeast"/>
              <w:ind w:left="0" w:leftChars="0" w:firstLine="0" w:firstLineChars="0"/>
              <w:jc w:val="left"/>
              <w:textAlignment w:val="center"/>
              <w:rPr>
                <w:rFonts w:hint="default" w:ascii="宋体" w:hAnsi="宋体" w:eastAsia="宋体"/>
                <w:sz w:val="30"/>
                <w:szCs w:val="30"/>
              </w:rPr>
            </w:pPr>
          </w:p>
        </w:tc>
        <w:tc>
          <w:tcPr>
            <w:tcW w:w="335" w:type="pct"/>
            <w:vAlign w:val="center"/>
          </w:tcPr>
          <w:p>
            <w:pPr>
              <w:keepNext w:val="0"/>
              <w:keepLines w:val="0"/>
              <w:pageBreakBefore w:val="0"/>
              <w:widowControl/>
              <w:suppressLineNumbers w:val="0"/>
              <w:kinsoku/>
              <w:wordWrap/>
              <w:overflowPunct/>
              <w:autoSpaceDE/>
              <w:autoSpaceDN/>
              <w:bidi w:val="0"/>
              <w:spacing w:line="240" w:lineRule="atLeast"/>
              <w:ind w:left="0" w:leftChars="0" w:firstLine="0" w:firstLineChars="0"/>
              <w:jc w:val="center"/>
              <w:textAlignment w:val="center"/>
              <w:rPr>
                <w:rFonts w:hint="eastAsia" w:ascii="宋体" w:hAnsi="宋体" w:eastAsia="宋体"/>
                <w:b/>
                <w:bCs/>
                <w:sz w:val="30"/>
                <w:szCs w:val="30"/>
              </w:rPr>
            </w:pPr>
            <w:r>
              <w:rPr>
                <w:rFonts w:hint="eastAsia" w:ascii="宋体" w:hAnsi="宋体" w:eastAsia="宋体"/>
                <w:b/>
                <w:bCs/>
                <w:sz w:val="30"/>
                <w:szCs w:val="30"/>
              </w:rPr>
              <w:t>章条</w:t>
            </w:r>
          </w:p>
          <w:p>
            <w:pPr>
              <w:keepNext w:val="0"/>
              <w:keepLines w:val="0"/>
              <w:pageBreakBefore w:val="0"/>
              <w:widowControl/>
              <w:suppressLineNumbers w:val="0"/>
              <w:kinsoku/>
              <w:wordWrap/>
              <w:overflowPunct/>
              <w:autoSpaceDE/>
              <w:autoSpaceDN/>
              <w:bidi w:val="0"/>
              <w:spacing w:line="240" w:lineRule="atLeast"/>
              <w:ind w:left="0" w:leftChars="0" w:firstLine="0" w:firstLineChars="0"/>
              <w:jc w:val="center"/>
              <w:textAlignment w:val="center"/>
              <w:rPr>
                <w:rFonts w:hint="eastAsia" w:ascii="宋体" w:hAnsi="宋体" w:eastAsia="宋体"/>
                <w:b/>
                <w:bCs/>
                <w:sz w:val="30"/>
                <w:szCs w:val="30"/>
              </w:rPr>
            </w:pPr>
            <w:r>
              <w:rPr>
                <w:rFonts w:hint="eastAsia" w:ascii="宋体" w:hAnsi="宋体" w:eastAsia="宋体"/>
                <w:b/>
                <w:bCs/>
                <w:sz w:val="30"/>
                <w:szCs w:val="30"/>
              </w:rPr>
              <w:t>编号</w:t>
            </w:r>
          </w:p>
        </w:tc>
        <w:tc>
          <w:tcPr>
            <w:tcW w:w="1789" w:type="pct"/>
            <w:vAlign w:val="center"/>
          </w:tcPr>
          <w:p>
            <w:pPr>
              <w:keepNext w:val="0"/>
              <w:keepLines w:val="0"/>
              <w:pageBreakBefore w:val="0"/>
              <w:widowControl/>
              <w:suppressLineNumbers w:val="0"/>
              <w:kinsoku/>
              <w:wordWrap/>
              <w:overflowPunct/>
              <w:autoSpaceDE/>
              <w:autoSpaceDN/>
              <w:bidi w:val="0"/>
              <w:spacing w:line="240" w:lineRule="atLeast"/>
              <w:ind w:left="0" w:leftChars="0" w:firstLine="0" w:firstLineChars="0"/>
              <w:jc w:val="center"/>
              <w:textAlignment w:val="center"/>
              <w:rPr>
                <w:rFonts w:hint="eastAsia" w:ascii="宋体" w:hAnsi="宋体" w:eastAsia="宋体"/>
                <w:b/>
                <w:bCs/>
                <w:sz w:val="30"/>
                <w:szCs w:val="30"/>
              </w:rPr>
            </w:pPr>
            <w:r>
              <w:rPr>
                <w:rFonts w:hint="eastAsia" w:ascii="宋体" w:hAnsi="宋体" w:eastAsia="宋体"/>
                <w:b/>
                <w:bCs/>
                <w:sz w:val="30"/>
                <w:szCs w:val="30"/>
              </w:rPr>
              <w:t>修改建议</w:t>
            </w:r>
          </w:p>
        </w:tc>
        <w:tc>
          <w:tcPr>
            <w:tcW w:w="278" w:type="pct"/>
            <w:vAlign w:val="center"/>
          </w:tcPr>
          <w:p>
            <w:pPr>
              <w:keepNext w:val="0"/>
              <w:keepLines w:val="0"/>
              <w:pageBreakBefore w:val="0"/>
              <w:widowControl/>
              <w:suppressLineNumbers w:val="0"/>
              <w:kinsoku/>
              <w:wordWrap/>
              <w:overflowPunct/>
              <w:autoSpaceDE/>
              <w:autoSpaceDN/>
              <w:bidi w:val="0"/>
              <w:spacing w:line="240" w:lineRule="atLeast"/>
              <w:ind w:left="0" w:leftChars="0" w:firstLine="0" w:firstLineChars="0"/>
              <w:jc w:val="center"/>
              <w:textAlignment w:val="center"/>
              <w:rPr>
                <w:rFonts w:hint="eastAsia" w:ascii="宋体" w:hAnsi="宋体" w:eastAsia="宋体"/>
                <w:b/>
                <w:bCs/>
                <w:sz w:val="30"/>
                <w:szCs w:val="30"/>
                <w:lang w:val="en-US" w:eastAsia="zh-CN"/>
              </w:rPr>
            </w:pPr>
            <w:r>
              <w:rPr>
                <w:rFonts w:hint="eastAsia" w:ascii="宋体" w:hAnsi="宋体" w:eastAsia="宋体"/>
                <w:b/>
                <w:bCs/>
                <w:sz w:val="30"/>
                <w:szCs w:val="30"/>
              </w:rPr>
              <w:t>采纳情况</w:t>
            </w:r>
          </w:p>
        </w:tc>
        <w:tc>
          <w:tcPr>
            <w:tcW w:w="901" w:type="pct"/>
            <w:vMerge w:val="continue"/>
            <w:vAlign w:val="center"/>
          </w:tcPr>
          <w:p>
            <w:pPr>
              <w:keepNext w:val="0"/>
              <w:keepLines w:val="0"/>
              <w:pageBreakBefore w:val="0"/>
              <w:widowControl/>
              <w:suppressLineNumbers w:val="0"/>
              <w:kinsoku/>
              <w:wordWrap/>
              <w:overflowPunct/>
              <w:autoSpaceDE/>
              <w:autoSpaceDN/>
              <w:bidi w:val="0"/>
              <w:spacing w:line="240" w:lineRule="atLeast"/>
              <w:ind w:left="0" w:leftChars="0" w:firstLine="0" w:firstLineChars="0"/>
              <w:jc w:val="center"/>
              <w:textAlignment w:val="center"/>
              <w:rPr>
                <w:rFonts w:hint="default" w:ascii="宋体" w:hAnsi="宋体" w:eastAsia="宋体"/>
                <w:b/>
                <w:bCs/>
                <w:sz w:val="30"/>
                <w:szCs w:val="30"/>
              </w:rPr>
            </w:pPr>
          </w:p>
        </w:tc>
        <w:tc>
          <w:tcPr>
            <w:tcW w:w="954" w:type="pct"/>
            <w:vMerge w:val="continue"/>
            <w:vAlign w:val="center"/>
          </w:tcPr>
          <w:p>
            <w:pPr>
              <w:keepNext w:val="0"/>
              <w:keepLines w:val="0"/>
              <w:pageBreakBefore w:val="0"/>
              <w:widowControl/>
              <w:suppressLineNumbers w:val="0"/>
              <w:kinsoku/>
              <w:wordWrap/>
              <w:overflowPunct/>
              <w:autoSpaceDE/>
              <w:autoSpaceDN/>
              <w:bidi w:val="0"/>
              <w:spacing w:line="240" w:lineRule="atLeast"/>
              <w:ind w:left="0" w:leftChars="0" w:firstLine="0" w:firstLineChars="0"/>
              <w:jc w:val="center"/>
              <w:textAlignment w:val="center"/>
              <w:rPr>
                <w:rFonts w:hint="default"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 w:type="pct"/>
            <w:vAlign w:val="center"/>
          </w:tcPr>
          <w:p>
            <w:pPr>
              <w:keepNext w:val="0"/>
              <w:keepLines w:val="0"/>
              <w:pageBreakBefore w:val="0"/>
              <w:widowControl/>
              <w:suppressLineNumbers w:val="0"/>
              <w:kinsoku/>
              <w:wordWrap/>
              <w:overflowPunct/>
              <w:autoSpaceDE/>
              <w:autoSpaceDN/>
              <w:bidi w:val="0"/>
              <w:spacing w:line="360" w:lineRule="exact"/>
              <w:ind w:left="0" w:leftChars="0" w:firstLine="0" w:firstLineChars="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588" w:type="pct"/>
            <w:vAlign w:val="center"/>
          </w:tcPr>
          <w:p>
            <w:pPr>
              <w:keepNext w:val="0"/>
              <w:keepLines w:val="0"/>
              <w:pageBreakBefore w:val="0"/>
              <w:widowControl/>
              <w:suppressLineNumbers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i w:val="0"/>
                <w:iCs w:val="0"/>
                <w:color w:val="000000"/>
                <w:kern w:val="0"/>
                <w:sz w:val="24"/>
                <w:szCs w:val="24"/>
                <w:u w:val="none"/>
                <w:lang w:val="en-US" w:eastAsia="zh-CN" w:bidi="ar"/>
              </w:rPr>
            </w:pPr>
            <w:r>
              <w:rPr>
                <w:rFonts w:hint="default" w:ascii="Times New Roman" w:hAnsi="Times New Roman" w:eastAsia="仿宋_GB2312" w:cs="Times New Roman"/>
                <w:b w:val="0"/>
                <w:bCs w:val="0"/>
                <w:sz w:val="24"/>
                <w:szCs w:val="24"/>
                <w:vertAlign w:val="baseline"/>
                <w:lang w:eastAsia="zh-CN"/>
              </w:rPr>
              <w:t>杭州泰川建设技术有限公司</w:t>
            </w:r>
          </w:p>
        </w:tc>
        <w:tc>
          <w:tcPr>
            <w:tcW w:w="335" w:type="pct"/>
            <w:vMerge w:val="restart"/>
            <w:vAlign w:val="center"/>
          </w:tcPr>
          <w:p>
            <w:pPr>
              <w:keepNext w:val="0"/>
              <w:keepLines w:val="0"/>
              <w:pageBreakBefore w:val="0"/>
              <w:widowControl/>
              <w:suppressLineNumbers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i w:val="0"/>
                <w:iCs w:val="0"/>
                <w:color w:val="000000"/>
                <w:kern w:val="0"/>
                <w:sz w:val="24"/>
                <w:szCs w:val="24"/>
                <w:u w:val="none"/>
                <w:lang w:val="en-US" w:eastAsia="zh-CN" w:bidi="ar"/>
              </w:rPr>
              <w:t>一2.【专业梳理】</w:t>
            </w:r>
          </w:p>
        </w:tc>
        <w:tc>
          <w:tcPr>
            <w:tcW w:w="1789"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kern w:val="2"/>
                <w:sz w:val="24"/>
                <w:szCs w:val="24"/>
                <w:vertAlign w:val="baseline"/>
                <w:lang w:val="en-US" w:eastAsia="zh-CN" w:bidi="ar-SA"/>
              </w:rPr>
              <w:t>为了提高地质灾害防治企业行业的整体技术力量，保证地质灾害防治企业行业的整体技术水平，建议提高乙级资质的准入门槛，增加企业的技术力量人员总数，同时规定中级技术职称的</w:t>
            </w:r>
            <w:r>
              <w:rPr>
                <w:rFonts w:hint="default" w:ascii="Times New Roman" w:hAnsi="Times New Roman" w:eastAsia="仿宋_GB2312" w:cs="Times New Roman"/>
                <w:b w:val="0"/>
                <w:bCs w:val="0"/>
                <w:sz w:val="24"/>
                <w:szCs w:val="24"/>
                <w:vertAlign w:val="baseline"/>
                <w:lang w:val="en-US" w:eastAsia="zh-CN"/>
              </w:rPr>
              <w:t>人员数量。</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eastAsia="zh-CN"/>
              </w:rPr>
              <w:t>未采纳</w:t>
            </w:r>
          </w:p>
        </w:tc>
        <w:tc>
          <w:tcPr>
            <w:tcW w:w="901"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w:t>
            </w:r>
          </w:p>
        </w:tc>
        <w:tc>
          <w:tcPr>
            <w:tcW w:w="954" w:type="pct"/>
            <w:vAlign w:val="center"/>
          </w:tcPr>
          <w:p>
            <w:pPr>
              <w:keepNext w:val="0"/>
              <w:keepLines w:val="0"/>
              <w:pageBreakBefore w:val="0"/>
              <w:kinsoku/>
              <w:wordWrap/>
              <w:overflowPunct/>
              <w:autoSpaceDE/>
              <w:autoSpaceDN/>
              <w:bidi w:val="0"/>
              <w:spacing w:line="360" w:lineRule="exact"/>
              <w:jc w:val="left"/>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kern w:val="2"/>
                <w:sz w:val="24"/>
                <w:szCs w:val="24"/>
                <w:vertAlign w:val="baseline"/>
                <w:lang w:val="en-US" w:eastAsia="zh-CN" w:bidi="ar-SA"/>
              </w:rPr>
              <w:t>提高准入门槛</w:t>
            </w:r>
            <w:r>
              <w:rPr>
                <w:rFonts w:hint="default" w:ascii="Times New Roman" w:hAnsi="Times New Roman" w:eastAsia="仿宋_GB2312" w:cs="Times New Roman"/>
                <w:b w:val="0"/>
                <w:bCs w:val="0"/>
                <w:sz w:val="24"/>
                <w:szCs w:val="24"/>
                <w:vertAlign w:val="baseline"/>
                <w:lang w:val="en-US" w:eastAsia="zh-CN"/>
              </w:rPr>
              <w:t>无</w:t>
            </w:r>
            <w:r>
              <w:rPr>
                <w:rFonts w:hint="default" w:ascii="Times New Roman" w:hAnsi="Times New Roman" w:eastAsia="仿宋_GB2312" w:cs="Times New Roman"/>
                <w:b w:val="0"/>
                <w:bCs w:val="0"/>
                <w:kern w:val="2"/>
                <w:sz w:val="24"/>
                <w:szCs w:val="24"/>
                <w:vertAlign w:val="baseline"/>
                <w:lang w:val="en-US" w:eastAsia="zh-CN" w:bidi="ar-SA"/>
              </w:rPr>
              <w:t>上位法依据，同时也不利于推进营商环境优化。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51" w:type="pct"/>
            <w:vAlign w:val="center"/>
          </w:tcPr>
          <w:p>
            <w:pPr>
              <w:keepNext w:val="0"/>
              <w:keepLines w:val="0"/>
              <w:pageBreakBefore w:val="0"/>
              <w:widowControl/>
              <w:suppressLineNumbers w:val="0"/>
              <w:kinsoku/>
              <w:wordWrap/>
              <w:overflowPunct/>
              <w:autoSpaceDE/>
              <w:autoSpaceDN/>
              <w:bidi w:val="0"/>
              <w:spacing w:line="360" w:lineRule="exact"/>
              <w:ind w:left="0" w:leftChars="0" w:firstLine="0" w:firstLineChars="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588" w:type="pct"/>
            <w:vAlign w:val="center"/>
          </w:tcPr>
          <w:p>
            <w:pPr>
              <w:keepNext w:val="0"/>
              <w:keepLines w:val="0"/>
              <w:pageBreakBefore w:val="0"/>
              <w:widowControl/>
              <w:suppressLineNumbers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i w:val="0"/>
                <w:iCs w:val="0"/>
                <w:color w:val="000000"/>
                <w:kern w:val="0"/>
                <w:sz w:val="24"/>
                <w:szCs w:val="24"/>
                <w:u w:val="none"/>
                <w:lang w:val="en-US" w:eastAsia="zh-CN" w:bidi="ar"/>
              </w:rPr>
            </w:pPr>
            <w:r>
              <w:rPr>
                <w:rFonts w:hint="default" w:ascii="Times New Roman" w:hAnsi="Times New Roman" w:eastAsia="仿宋_GB2312" w:cs="Times New Roman"/>
                <w:b w:val="0"/>
                <w:bCs w:val="0"/>
                <w:sz w:val="24"/>
                <w:szCs w:val="24"/>
                <w:vertAlign w:val="baseline"/>
                <w:lang w:val="en-US" w:eastAsia="zh-CN"/>
              </w:rPr>
              <w:t>中化地质矿山总局浙江地质勘查院</w:t>
            </w:r>
          </w:p>
        </w:tc>
        <w:tc>
          <w:tcPr>
            <w:tcW w:w="335" w:type="pct"/>
            <w:vMerge w:val="continue"/>
            <w:vAlign w:val="center"/>
          </w:tcPr>
          <w:p>
            <w:pPr>
              <w:keepNext w:val="0"/>
              <w:keepLines w:val="0"/>
              <w:pageBreakBefore w:val="0"/>
              <w:widowControl/>
              <w:suppressLineNumbers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i w:val="0"/>
                <w:iCs w:val="0"/>
                <w:color w:val="000000"/>
                <w:kern w:val="0"/>
                <w:sz w:val="24"/>
                <w:szCs w:val="24"/>
                <w:u w:val="none"/>
                <w:lang w:val="en-US" w:eastAsia="zh-CN" w:bidi="ar"/>
              </w:rPr>
            </w:pPr>
          </w:p>
        </w:tc>
        <w:tc>
          <w:tcPr>
            <w:tcW w:w="1789"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同一专业因主管部门不同或由于以往其他资质要求，造成的表述不完全一致的，建议只要“关键词”一致的都应视为对应专业。</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eastAsia="zh-CN"/>
              </w:rPr>
              <w:t>未采纳</w:t>
            </w:r>
          </w:p>
        </w:tc>
        <w:tc>
          <w:tcPr>
            <w:tcW w:w="901"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w:t>
            </w:r>
          </w:p>
        </w:tc>
        <w:tc>
          <w:tcPr>
            <w:tcW w:w="954" w:type="pct"/>
            <w:vAlign w:val="center"/>
          </w:tcPr>
          <w:p>
            <w:pPr>
              <w:keepNext w:val="0"/>
              <w:keepLines w:val="0"/>
              <w:pageBreakBefore w:val="0"/>
              <w:kinsoku/>
              <w:wordWrap/>
              <w:overflowPunct/>
              <w:autoSpaceDE/>
              <w:autoSpaceDN/>
              <w:bidi w:val="0"/>
              <w:spacing w:line="360" w:lineRule="exact"/>
              <w:jc w:val="left"/>
              <w:textAlignment w:val="auto"/>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sz w:val="24"/>
                <w:szCs w:val="24"/>
                <w:vertAlign w:val="baseline"/>
              </w:rPr>
              <w:t>《地质灾害防治单位资质管理办法》</w:t>
            </w:r>
            <w:r>
              <w:rPr>
                <w:rFonts w:hint="default" w:ascii="Times New Roman" w:hAnsi="Times New Roman" w:eastAsia="仿宋_GB2312" w:cs="Times New Roman"/>
                <w:b w:val="0"/>
                <w:bCs w:val="0"/>
                <w:sz w:val="24"/>
                <w:szCs w:val="24"/>
                <w:vertAlign w:val="baseline"/>
                <w:lang w:eastAsia="zh-CN"/>
              </w:rPr>
              <w:t>（以下简称《办法》）</w:t>
            </w:r>
            <w:r>
              <w:rPr>
                <w:rFonts w:hint="default" w:ascii="Times New Roman" w:hAnsi="Times New Roman" w:eastAsia="仿宋_GB2312" w:cs="Times New Roman"/>
                <w:b w:val="0"/>
                <w:bCs w:val="0"/>
                <w:sz w:val="24"/>
                <w:szCs w:val="24"/>
                <w:vertAlign w:val="baseline"/>
              </w:rPr>
              <w:t>第三十七条中对资源与环境类相关专业和土木水利类相关专业的专业范围有明确规定。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151" w:type="pct"/>
            <w:vAlign w:val="center"/>
          </w:tcPr>
          <w:p>
            <w:pPr>
              <w:keepNext w:val="0"/>
              <w:keepLines w:val="0"/>
              <w:pageBreakBefore w:val="0"/>
              <w:widowControl/>
              <w:suppressLineNumbers w:val="0"/>
              <w:kinsoku/>
              <w:wordWrap/>
              <w:overflowPunct/>
              <w:autoSpaceDE/>
              <w:autoSpaceDN/>
              <w:bidi w:val="0"/>
              <w:spacing w:line="360" w:lineRule="exact"/>
              <w:ind w:left="0" w:leftChars="0" w:firstLine="0" w:firstLineChars="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588" w:type="pct"/>
            <w:vAlign w:val="center"/>
          </w:tcPr>
          <w:p>
            <w:pPr>
              <w:keepNext w:val="0"/>
              <w:keepLines w:val="0"/>
              <w:pageBreakBefore w:val="0"/>
              <w:widowControl/>
              <w:suppressLineNumbers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i w:val="0"/>
                <w:iCs w:val="0"/>
                <w:color w:val="000000"/>
                <w:kern w:val="0"/>
                <w:sz w:val="24"/>
                <w:szCs w:val="24"/>
                <w:u w:val="none"/>
                <w:lang w:val="en-US" w:eastAsia="zh-CN" w:bidi="ar"/>
              </w:rPr>
            </w:pPr>
            <w:r>
              <w:rPr>
                <w:rFonts w:hint="default" w:ascii="Times New Roman" w:hAnsi="Times New Roman" w:eastAsia="仿宋_GB2312" w:cs="Times New Roman"/>
                <w:b w:val="0"/>
                <w:bCs w:val="0"/>
                <w:sz w:val="24"/>
                <w:szCs w:val="24"/>
                <w:vertAlign w:val="baseline"/>
                <w:lang w:eastAsia="zh-CN"/>
              </w:rPr>
              <w:t>浙江有色地勘集团有限公司</w:t>
            </w:r>
          </w:p>
        </w:tc>
        <w:tc>
          <w:tcPr>
            <w:tcW w:w="335" w:type="pct"/>
            <w:vMerge w:val="restart"/>
            <w:vAlign w:val="center"/>
          </w:tcPr>
          <w:p>
            <w:pPr>
              <w:keepNext w:val="0"/>
              <w:keepLines w:val="0"/>
              <w:pageBreakBefore w:val="0"/>
              <w:widowControl/>
              <w:suppressLineNumbers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i w:val="0"/>
                <w:iCs w:val="0"/>
                <w:color w:val="000000"/>
                <w:kern w:val="0"/>
                <w:sz w:val="24"/>
                <w:szCs w:val="24"/>
                <w:u w:val="none"/>
                <w:lang w:val="en-US" w:eastAsia="zh-CN" w:bidi="ar"/>
              </w:rPr>
              <w:t>一3.【职称认定】</w:t>
            </w:r>
          </w:p>
        </w:tc>
        <w:tc>
          <w:tcPr>
            <w:tcW w:w="1789" w:type="pct"/>
            <w:vAlign w:val="center"/>
          </w:tcPr>
          <w:p>
            <w:pPr>
              <w:keepNext w:val="0"/>
              <w:keepLines w:val="0"/>
              <w:pageBreakBefore w:val="0"/>
              <w:numPr>
                <w:numId w:val="0"/>
              </w:numPr>
              <w:kinsoku/>
              <w:wordWrap/>
              <w:overflowPunct/>
              <w:autoSpaceDE/>
              <w:autoSpaceDN/>
              <w:bidi w:val="0"/>
              <w:spacing w:line="360" w:lineRule="exact"/>
              <w:ind w:firstLine="480" w:firstLineChars="200"/>
              <w:jc w:val="left"/>
              <w:textAlignment w:val="auto"/>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sz w:val="24"/>
                <w:szCs w:val="24"/>
                <w:vertAlign w:val="baseline"/>
                <w:lang w:eastAsia="zh-CN"/>
              </w:rPr>
              <w:t>根据“浙江省自然资源厅、浙江省人力资源和社会保障厅关于印发《浙江省自然资源工程领域工程师和高级工程师职务任职资格评价条件》《浙江省自然资源工程领域正高级工程师职务任职资格评价条件》的通知”（浙自然资规〔2023〕8号，2023年7月19日）第一章，第二条，地质勘查:是指基础地质、矿产地质、水工环地质、灾害地质、勘查技术与工程、物化探、遥感地质、化学分析与土工测试、生态环境修复治理、选矿试验与矿产资源开发利用等。建议按照浙江省现行专业技术职称分类，将“基础地质、矿产地质、灾害地质、物化探、遥感地质、化学分析与土工测试、生态环境修复治理、选矿试验与矿产资源开发利用”添加进入相近专业技术职称</w:t>
            </w:r>
            <w:r>
              <w:rPr>
                <w:rFonts w:hint="eastAsia" w:ascii="Times New Roman" w:hAnsi="Times New Roman" w:eastAsia="仿宋_GB2312" w:cs="Times New Roman"/>
                <w:b w:val="0"/>
                <w:bCs w:val="0"/>
                <w:sz w:val="24"/>
                <w:szCs w:val="24"/>
                <w:vertAlign w:val="baseline"/>
                <w:lang w:eastAsia="zh-CN"/>
              </w:rPr>
              <w:t>；</w:t>
            </w:r>
            <w:r>
              <w:rPr>
                <w:rFonts w:hint="default" w:ascii="Times New Roman" w:hAnsi="Times New Roman" w:eastAsia="仿宋_GB2312" w:cs="Times New Roman"/>
                <w:b w:val="0"/>
                <w:bCs w:val="0"/>
                <w:sz w:val="24"/>
                <w:szCs w:val="24"/>
                <w:vertAlign w:val="baseline"/>
                <w:lang w:eastAsia="zh-CN"/>
              </w:rPr>
              <w:t>地灾项目中涉及到测量相关工作，能否增加测量类专业技术职称人员。</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eastAsia="zh-CN"/>
              </w:rPr>
              <w:t>部分采纳</w:t>
            </w:r>
          </w:p>
        </w:tc>
        <w:tc>
          <w:tcPr>
            <w:tcW w:w="901" w:type="pct"/>
            <w:vMerge w:val="restar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0"/>
                <w:sz w:val="24"/>
                <w:szCs w:val="24"/>
                <w:highlight w:val="none"/>
              </w:rPr>
            </w:pPr>
            <w:r>
              <w:rPr>
                <w:rFonts w:hint="default" w:ascii="Times New Roman" w:hAnsi="Times New Roman" w:eastAsia="仿宋_GB2312" w:cs="Times New Roman"/>
                <w:b w:val="0"/>
                <w:bCs w:val="0"/>
                <w:sz w:val="24"/>
                <w:szCs w:val="24"/>
                <w:highlight w:val="none"/>
              </w:rPr>
              <w:t>技术人员职称专业原则上应与《办法》第三十七条所列专业一致</w:t>
            </w:r>
            <w:r>
              <w:rPr>
                <w:rFonts w:hint="default" w:ascii="Times New Roman" w:hAnsi="Times New Roman" w:eastAsia="仿宋_GB2312" w:cs="Times New Roman"/>
                <w:b w:val="0"/>
                <w:bCs w:val="0"/>
                <w:sz w:val="24"/>
                <w:szCs w:val="24"/>
                <w:highlight w:val="none"/>
                <w:lang w:eastAsia="zh-CN"/>
              </w:rPr>
              <w:t>，以职称证书载明专业为准。浙江省内职称证书载明专业因职称评定类型调整等原因造成的职称名称与《办法》所列专业不一致的，视为相近专业，具体对应情况详见附表2。</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highlight w:val="none"/>
                <w:vertAlign w:val="baseline"/>
                <w:lang w:val="en-US" w:eastAsia="zh-CN"/>
              </w:rPr>
            </w:pPr>
            <w:r>
              <w:rPr>
                <w:rFonts w:hint="default" w:ascii="Times New Roman" w:hAnsi="Times New Roman" w:eastAsia="仿宋_GB2312" w:cs="Times New Roman"/>
                <w:b w:val="0"/>
                <w:bCs w:val="0"/>
                <w:sz w:val="24"/>
                <w:szCs w:val="24"/>
                <w:highlight w:val="none"/>
                <w:vertAlign w:val="baseline"/>
                <w:lang w:eastAsia="zh-CN"/>
              </w:rPr>
              <w:t>附表</w:t>
            </w:r>
            <w:r>
              <w:rPr>
                <w:rFonts w:hint="default" w:ascii="Times New Roman" w:hAnsi="Times New Roman" w:eastAsia="仿宋_GB2312" w:cs="Times New Roman"/>
                <w:b w:val="0"/>
                <w:bCs w:val="0"/>
                <w:sz w:val="24"/>
                <w:szCs w:val="24"/>
                <w:highlight w:val="none"/>
                <w:vertAlign w:val="baseline"/>
                <w:lang w:val="en-US" w:eastAsia="zh-CN"/>
              </w:rPr>
              <w:t>2中：新增</w:t>
            </w:r>
            <w:r>
              <w:rPr>
                <w:rFonts w:hint="default" w:ascii="Times New Roman" w:hAnsi="Times New Roman" w:eastAsia="仿宋_GB2312" w:cs="Times New Roman"/>
                <w:b w:val="0"/>
                <w:bCs w:val="0"/>
                <w:sz w:val="24"/>
                <w:szCs w:val="24"/>
                <w:highlight w:val="none"/>
                <w:lang w:val="en-US" w:eastAsia="zh-CN"/>
              </w:rPr>
              <w:t>基础地质、矿产地质、灾害地质、物化探、遥感地质</w:t>
            </w:r>
            <w:r>
              <w:rPr>
                <w:rFonts w:hint="default" w:ascii="Times New Roman" w:hAnsi="Times New Roman" w:eastAsia="仿宋_GB2312" w:cs="Times New Roman"/>
                <w:b w:val="0"/>
                <w:bCs w:val="0"/>
                <w:sz w:val="24"/>
                <w:szCs w:val="24"/>
                <w:highlight w:val="none"/>
                <w:lang w:eastAsia="zh-CN"/>
              </w:rPr>
              <w:t>与办法中的地质勘查相对应。</w:t>
            </w:r>
          </w:p>
        </w:tc>
        <w:tc>
          <w:tcPr>
            <w:tcW w:w="954"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sz w:val="24"/>
                <w:szCs w:val="24"/>
                <w:highlight w:val="none"/>
                <w:vertAlign w:val="baseline"/>
              </w:rPr>
            </w:pPr>
            <w:r>
              <w:rPr>
                <w:rFonts w:hint="default" w:ascii="Times New Roman" w:hAnsi="Times New Roman" w:eastAsia="仿宋_GB2312" w:cs="Times New Roman"/>
                <w:b w:val="0"/>
                <w:bCs w:val="0"/>
                <w:sz w:val="24"/>
                <w:szCs w:val="24"/>
                <w:highlight w:val="none"/>
                <w:vertAlign w:val="baseline"/>
                <w:lang w:eastAsia="zh-CN"/>
              </w:rPr>
              <w:t>未采纳</w:t>
            </w:r>
            <w:r>
              <w:rPr>
                <w:rFonts w:hint="default" w:ascii="Times New Roman" w:hAnsi="Times New Roman" w:eastAsia="仿宋_GB2312" w:cs="Times New Roman"/>
                <w:b w:val="0"/>
                <w:bCs w:val="0"/>
                <w:sz w:val="24"/>
                <w:szCs w:val="24"/>
                <w:highlight w:val="none"/>
                <w:vertAlign w:val="baseline"/>
              </w:rPr>
              <w:t>：化学分析与土工测试、生态环境修复治理、选矿试验与矿产资源开发利用</w:t>
            </w:r>
            <w:r>
              <w:rPr>
                <w:rFonts w:hint="default" w:ascii="Times New Roman" w:hAnsi="Times New Roman" w:eastAsia="仿宋_GB2312" w:cs="Times New Roman"/>
                <w:b w:val="0"/>
                <w:bCs w:val="0"/>
                <w:sz w:val="24"/>
                <w:szCs w:val="24"/>
                <w:highlight w:val="none"/>
                <w:vertAlign w:val="baseline"/>
                <w:lang w:eastAsia="zh-CN"/>
              </w:rPr>
              <w:t>不纳入与《办法》相近专业。理由：</w:t>
            </w:r>
            <w:r>
              <w:rPr>
                <w:rFonts w:hint="default" w:ascii="Times New Roman" w:hAnsi="Times New Roman" w:eastAsia="仿宋_GB2312" w:cs="Times New Roman"/>
                <w:b w:val="0"/>
                <w:bCs w:val="0"/>
                <w:sz w:val="24"/>
                <w:szCs w:val="24"/>
                <w:highlight w:val="none"/>
                <w:vertAlign w:val="baseline"/>
              </w:rPr>
              <w:t>化学分析与土工测试、生态环境修复治理、选矿试验与矿产资源开发利用非地质灾害防治相近专业，</w:t>
            </w:r>
            <w:r>
              <w:rPr>
                <w:rFonts w:hint="default" w:ascii="Times New Roman" w:hAnsi="Times New Roman" w:eastAsia="仿宋_GB2312" w:cs="Times New Roman"/>
                <w:b w:val="0"/>
                <w:bCs w:val="0"/>
                <w:sz w:val="24"/>
                <w:szCs w:val="24"/>
                <w:highlight w:val="none"/>
                <w:vertAlign w:val="baseline"/>
                <w:lang w:eastAsia="zh-CN"/>
              </w:rPr>
              <w:t>无法纳入与对应</w:t>
            </w:r>
            <w:r>
              <w:rPr>
                <w:rFonts w:hint="default" w:ascii="Times New Roman" w:hAnsi="Times New Roman" w:eastAsia="仿宋_GB2312" w:cs="Times New Roman"/>
                <w:b w:val="0"/>
                <w:bCs w:val="0"/>
                <w:sz w:val="24"/>
                <w:szCs w:val="24"/>
                <w:highlight w:val="none"/>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51" w:type="pct"/>
            <w:vAlign w:val="center"/>
          </w:tcPr>
          <w:p>
            <w:pPr>
              <w:keepNext w:val="0"/>
              <w:keepLines w:val="0"/>
              <w:pageBreakBefore w:val="0"/>
              <w:widowControl/>
              <w:suppressLineNumbers w:val="0"/>
              <w:kinsoku/>
              <w:wordWrap/>
              <w:overflowPunct/>
              <w:autoSpaceDE/>
              <w:autoSpaceDN/>
              <w:bidi w:val="0"/>
              <w:spacing w:line="360" w:lineRule="exact"/>
              <w:ind w:left="0" w:leftChars="0" w:firstLine="0" w:firstLineChars="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588" w:type="pct"/>
            <w:vAlign w:val="center"/>
          </w:tcPr>
          <w:p>
            <w:pPr>
              <w:keepNext w:val="0"/>
              <w:keepLines w:val="0"/>
              <w:pageBreakBefore w:val="0"/>
              <w:widowControl/>
              <w:suppressLineNumbers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i w:val="0"/>
                <w:iCs w:val="0"/>
                <w:color w:val="000000"/>
                <w:kern w:val="0"/>
                <w:sz w:val="24"/>
                <w:szCs w:val="24"/>
                <w:u w:val="none"/>
                <w:lang w:val="en-US" w:eastAsia="zh-CN" w:bidi="ar"/>
              </w:rPr>
            </w:pPr>
            <w:r>
              <w:rPr>
                <w:rFonts w:hint="default" w:ascii="Times New Roman" w:hAnsi="Times New Roman" w:eastAsia="仿宋_GB2312" w:cs="Times New Roman"/>
                <w:b w:val="0"/>
                <w:bCs w:val="0"/>
                <w:sz w:val="24"/>
                <w:szCs w:val="24"/>
                <w:vertAlign w:val="baseline"/>
                <w:lang w:eastAsia="zh-CN"/>
              </w:rPr>
              <w:t>浙江数智交院科技股份有限公司</w:t>
            </w:r>
          </w:p>
        </w:tc>
        <w:tc>
          <w:tcPr>
            <w:tcW w:w="335" w:type="pct"/>
            <w:vMerge w:val="continue"/>
            <w:vAlign w:val="center"/>
          </w:tcPr>
          <w:p>
            <w:pPr>
              <w:keepNext w:val="0"/>
              <w:keepLines w:val="0"/>
              <w:pageBreakBefore w:val="0"/>
              <w:widowControl/>
              <w:suppressLineNumbers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i w:val="0"/>
                <w:iCs w:val="0"/>
                <w:color w:val="000000"/>
                <w:kern w:val="0"/>
                <w:sz w:val="24"/>
                <w:szCs w:val="24"/>
                <w:u w:val="none"/>
                <w:lang w:val="en-US" w:eastAsia="zh-CN" w:bidi="ar"/>
              </w:rPr>
            </w:pPr>
          </w:p>
        </w:tc>
        <w:tc>
          <w:tcPr>
            <w:tcW w:w="1789"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根据自然资源部2022年11月8日发布的《地质灾害资质管理办法》第三十七条，“本办法所称土木水利类专业包括岩土工程、结构工程、减灾防灾工程及防护工程、水利水电工程、水工结构工程等”。根据《省交通运输厅关于开展2023年度交通运输（含轨道交通）工程专业高级工程师职务任职资格评审工作的通知》附件2的内容，交通行业地质类职称专业名称为“工程勘察”，土木类为“公路工程、桥隧工程、道桥工程、给排水工程、岩土工程”，建议征集意见稿附表2中，“地质勘查”相近专业增加“工程勘察”，“结构工程”相近专业增加“公路工程、桥隧工程、道桥工程”。</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sz w:val="24"/>
                <w:szCs w:val="24"/>
                <w:vertAlign w:val="baseline"/>
                <w:lang w:eastAsia="zh-CN"/>
              </w:rPr>
              <w:t>未采纳</w:t>
            </w:r>
          </w:p>
        </w:tc>
        <w:tc>
          <w:tcPr>
            <w:tcW w:w="901" w:type="pct"/>
            <w:vMerge w:val="continue"/>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highlight w:val="none"/>
                <w:vertAlign w:val="baseline"/>
              </w:rPr>
            </w:pPr>
          </w:p>
        </w:tc>
        <w:tc>
          <w:tcPr>
            <w:tcW w:w="954"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sz w:val="24"/>
                <w:szCs w:val="24"/>
                <w:highlight w:val="none"/>
                <w:vertAlign w:val="baseline"/>
              </w:rPr>
            </w:pPr>
            <w:r>
              <w:rPr>
                <w:rFonts w:hint="default" w:ascii="Times New Roman" w:hAnsi="Times New Roman" w:eastAsia="仿宋_GB2312" w:cs="Times New Roman"/>
                <w:b w:val="0"/>
                <w:bCs w:val="0"/>
                <w:sz w:val="24"/>
                <w:szCs w:val="24"/>
                <w:highlight w:val="none"/>
                <w:vertAlign w:val="baseline"/>
              </w:rPr>
              <w:t>《办法》第三十七条规定的专业类型中为资源环境</w:t>
            </w:r>
            <w:r>
              <w:rPr>
                <w:rFonts w:hint="default" w:ascii="Times New Roman" w:hAnsi="Times New Roman" w:eastAsia="仿宋_GB2312" w:cs="Times New Roman"/>
                <w:b w:val="0"/>
                <w:bCs w:val="0"/>
                <w:sz w:val="24"/>
                <w:szCs w:val="24"/>
                <w:highlight w:val="none"/>
                <w:vertAlign w:val="baseline"/>
                <w:lang w:eastAsia="zh-CN"/>
              </w:rPr>
              <w:t>类</w:t>
            </w:r>
            <w:r>
              <w:rPr>
                <w:rFonts w:hint="default" w:ascii="Times New Roman" w:hAnsi="Times New Roman" w:eastAsia="仿宋_GB2312" w:cs="Times New Roman"/>
                <w:b w:val="0"/>
                <w:bCs w:val="0"/>
                <w:sz w:val="24"/>
                <w:szCs w:val="24"/>
                <w:highlight w:val="none"/>
                <w:vertAlign w:val="baseline"/>
              </w:rPr>
              <w:t>和土木水利类，无交通</w:t>
            </w:r>
            <w:r>
              <w:rPr>
                <w:rFonts w:hint="default" w:ascii="Times New Roman" w:hAnsi="Times New Roman" w:eastAsia="仿宋_GB2312" w:cs="Times New Roman"/>
                <w:b w:val="0"/>
                <w:bCs w:val="0"/>
                <w:sz w:val="24"/>
                <w:szCs w:val="24"/>
                <w:highlight w:val="none"/>
                <w:vertAlign w:val="baseline"/>
                <w:lang w:val="en-US" w:eastAsia="zh-CN"/>
              </w:rPr>
              <w:t>领域</w:t>
            </w:r>
            <w:r>
              <w:rPr>
                <w:rFonts w:hint="default" w:ascii="Times New Roman" w:hAnsi="Times New Roman" w:eastAsia="仿宋_GB2312" w:cs="Times New Roman"/>
                <w:b w:val="0"/>
                <w:bCs w:val="0"/>
                <w:sz w:val="24"/>
                <w:szCs w:val="24"/>
                <w:highlight w:val="none"/>
                <w:vertAlign w:val="baseli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7" w:hRule="atLeast"/>
        </w:trPr>
        <w:tc>
          <w:tcPr>
            <w:tcW w:w="151" w:type="pct"/>
            <w:vAlign w:val="center"/>
          </w:tcPr>
          <w:p>
            <w:pPr>
              <w:keepNext w:val="0"/>
              <w:keepLines w:val="0"/>
              <w:pageBreakBefore w:val="0"/>
              <w:kinsoku/>
              <w:wordWrap/>
              <w:overflowPunct/>
              <w:autoSpaceDE/>
              <w:autoSpaceDN/>
              <w:bidi w:val="0"/>
              <w:spacing w:line="360" w:lineRule="exact"/>
              <w:ind w:left="0" w:leftChars="0" w:firstLine="0" w:firstLineChars="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w:t>
            </w:r>
          </w:p>
        </w:tc>
        <w:tc>
          <w:tcPr>
            <w:tcW w:w="588"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kern w:val="2"/>
                <w:sz w:val="24"/>
                <w:szCs w:val="24"/>
                <w:lang w:val="en-US" w:eastAsia="zh-CN" w:bidi="ar-SA"/>
              </w:rPr>
              <w:t>浙江省工程勘察设计院集团有限公司</w:t>
            </w:r>
          </w:p>
        </w:tc>
        <w:tc>
          <w:tcPr>
            <w:tcW w:w="335"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sz w:val="24"/>
                <w:szCs w:val="24"/>
                <w:lang w:eastAsia="zh-CN"/>
              </w:rPr>
              <w:t>一</w:t>
            </w:r>
            <w:r>
              <w:rPr>
                <w:rFonts w:hint="default" w:ascii="Times New Roman" w:hAnsi="Times New Roman" w:eastAsia="仿宋_GB2312" w:cs="Times New Roman"/>
                <w:b w:val="0"/>
                <w:bCs w:val="0"/>
                <w:sz w:val="24"/>
                <w:szCs w:val="24"/>
              </w:rPr>
              <w:t>5.【证书认定】</w:t>
            </w:r>
          </w:p>
        </w:tc>
        <w:tc>
          <w:tcPr>
            <w:tcW w:w="1789"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kern w:val="2"/>
                <w:sz w:val="24"/>
                <w:szCs w:val="24"/>
                <w:lang w:val="en-US" w:eastAsia="zh-CN" w:bidi="ar-SA"/>
              </w:rPr>
              <w:t>条款一5（4）【证书认定】“注册执业证书在有效期内，并通过继续教育考核颁发具有二维码识别的培训证书。”建议改为“注册执业证书应在有效期内，并提供全国建筑市场监管公共服务平台个人执业注册信息页面截图或提供完成继续教育取得具有二维码识别的培训证书。”</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sz w:val="24"/>
                <w:szCs w:val="24"/>
                <w:vertAlign w:val="baseline"/>
                <w:lang w:eastAsia="zh-CN"/>
              </w:rPr>
              <w:t>部分采纳</w:t>
            </w:r>
          </w:p>
        </w:tc>
        <w:tc>
          <w:tcPr>
            <w:tcW w:w="901" w:type="pct"/>
            <w:vAlign w:val="center"/>
          </w:tcPr>
          <w:p>
            <w:pPr>
              <w:pStyle w:val="13"/>
              <w:keepNext w:val="0"/>
              <w:keepLines w:val="0"/>
              <w:pageBreakBefore w:val="0"/>
              <w:widowControl w:val="0"/>
              <w:kinsoku/>
              <w:wordWrap/>
              <w:overflowPunct/>
              <w:topLinePunct/>
              <w:autoSpaceDE/>
              <w:autoSpaceDN/>
              <w:bidi w:val="0"/>
              <w:adjustRightInd w:val="0"/>
              <w:snapToGrid w:val="0"/>
              <w:spacing w:after="0"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职称证书（资格证明）应符合以下情况之一：</w:t>
            </w:r>
          </w:p>
          <w:p>
            <w:pPr>
              <w:keepNext w:val="0"/>
              <w:keepLines w:val="0"/>
              <w:pageBreakBefore w:val="0"/>
              <w:kinsoku/>
              <w:wordWrap/>
              <w:overflowPunct/>
              <w:topLinePunct/>
              <w:autoSpaceDE/>
              <w:autoSpaceDN/>
              <w:bidi w:val="0"/>
              <w:adjustRightInd w:val="0"/>
              <w:snapToGrid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（1）职称证书经各省人力资源和社会保障部门认定，并附带识别二维码；</w:t>
            </w:r>
          </w:p>
          <w:p>
            <w:pPr>
              <w:keepNext w:val="0"/>
              <w:keepLines w:val="0"/>
              <w:pageBreakBefore w:val="0"/>
              <w:kinsoku/>
              <w:wordWrap/>
              <w:overflowPunct/>
              <w:topLinePunct/>
              <w:autoSpaceDE/>
              <w:autoSpaceDN/>
              <w:bidi w:val="0"/>
              <w:adjustRightInd w:val="0"/>
              <w:snapToGrid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（2）职称证书不附带识别二维码，但可通过各级人力资源和社会保障网查询；</w:t>
            </w:r>
          </w:p>
          <w:p>
            <w:pPr>
              <w:keepNext w:val="0"/>
              <w:keepLines w:val="0"/>
              <w:pageBreakBefore w:val="0"/>
              <w:kinsoku/>
              <w:wordWrap/>
              <w:overflowPunct/>
              <w:topLinePunct/>
              <w:autoSpaceDE/>
              <w:autoSpaceDN/>
              <w:bidi w:val="0"/>
              <w:adjustRightInd w:val="0"/>
              <w:snapToGrid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（3）职称证书由具备职称评审权的中央管理单位颁发，可通过全国人力资源和社会保障政务服务平台查询；</w:t>
            </w:r>
          </w:p>
          <w:p>
            <w:pPr>
              <w:keepNext w:val="0"/>
              <w:keepLines w:val="0"/>
              <w:pageBreakBefore w:val="0"/>
              <w:kinsoku/>
              <w:wordWrap/>
              <w:overflowPunct/>
              <w:topLinePunct/>
              <w:autoSpaceDE/>
              <w:autoSpaceDN/>
              <w:bidi w:val="0"/>
              <w:adjustRightInd w:val="0"/>
              <w:snapToGrid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kern w:val="2"/>
                <w:sz w:val="24"/>
                <w:szCs w:val="24"/>
                <w:lang w:val="en-US" w:eastAsia="zh-CN" w:bidi="ar-SA"/>
              </w:rPr>
              <w:t>（4）注册执业证书在有效期内，且在全国建筑市场监管公共服务平台可查询。</w:t>
            </w:r>
          </w:p>
        </w:tc>
        <w:tc>
          <w:tcPr>
            <w:tcW w:w="954"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采纳部分：在全国</w:t>
            </w:r>
            <w:r>
              <w:rPr>
                <w:rFonts w:hint="default" w:ascii="Times New Roman" w:hAnsi="Times New Roman" w:eastAsia="仿宋_GB2312" w:cs="Times New Roman"/>
                <w:b w:val="0"/>
                <w:bCs w:val="0"/>
                <w:kern w:val="2"/>
                <w:sz w:val="24"/>
                <w:szCs w:val="24"/>
                <w:lang w:val="en-US" w:eastAsia="zh-CN" w:bidi="ar-SA"/>
              </w:rPr>
              <w:t>建筑市场监管公共服务平台可查询。</w:t>
            </w:r>
          </w:p>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color w:val="0000FF"/>
                <w:sz w:val="24"/>
                <w:szCs w:val="24"/>
                <w:highlight w:val="yellow"/>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未采纳部分：公共网站可查询的不要求再提供其他材料。</w:t>
            </w:r>
          </w:p>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1" w:type="pct"/>
            <w:vAlign w:val="center"/>
          </w:tcPr>
          <w:p>
            <w:pPr>
              <w:keepNext w:val="0"/>
              <w:keepLines w:val="0"/>
              <w:pageBreakBefore w:val="0"/>
              <w:kinsoku/>
              <w:wordWrap/>
              <w:overflowPunct/>
              <w:autoSpaceDE/>
              <w:autoSpaceDN/>
              <w:bidi w:val="0"/>
              <w:spacing w:line="360" w:lineRule="exact"/>
              <w:ind w:left="0" w:leftChars="0" w:firstLine="0" w:firstLineChars="0"/>
              <w:jc w:val="center"/>
              <w:rPr>
                <w:rFonts w:hint="default" w:ascii="Times New Roman" w:hAnsi="Times New Roman" w:eastAsia="宋体" w:cs="Times New Roman"/>
                <w:sz w:val="24"/>
                <w:szCs w:val="24"/>
                <w:lang w:val="en-US" w:eastAsia="zh-CN" w:bidi="ar"/>
              </w:rPr>
            </w:pPr>
            <w:r>
              <w:rPr>
                <w:rFonts w:hint="default" w:ascii="Times New Roman" w:hAnsi="Times New Roman" w:eastAsia="宋体" w:cs="Times New Roman"/>
                <w:sz w:val="24"/>
                <w:szCs w:val="24"/>
                <w:lang w:val="en-US" w:eastAsia="zh-CN" w:bidi="ar"/>
              </w:rPr>
              <w:t>6</w:t>
            </w:r>
          </w:p>
        </w:tc>
        <w:tc>
          <w:tcPr>
            <w:tcW w:w="588"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sz w:val="24"/>
                <w:szCs w:val="24"/>
                <w:lang w:eastAsia="zh-CN" w:bidi="ar"/>
              </w:rPr>
            </w:pPr>
            <w:r>
              <w:rPr>
                <w:rFonts w:hint="default" w:ascii="Times New Roman" w:hAnsi="Times New Roman" w:eastAsia="仿宋_GB2312" w:cs="Times New Roman"/>
                <w:b w:val="0"/>
                <w:bCs w:val="0"/>
                <w:sz w:val="24"/>
                <w:szCs w:val="24"/>
                <w:vertAlign w:val="baseline"/>
                <w:lang w:eastAsia="zh-CN"/>
              </w:rPr>
              <w:t>浙江启航园林工程有限公司</w:t>
            </w:r>
          </w:p>
        </w:tc>
        <w:tc>
          <w:tcPr>
            <w:tcW w:w="335" w:type="pct"/>
            <w:vMerge w:val="restar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sz w:val="24"/>
                <w:szCs w:val="24"/>
                <w:lang w:eastAsia="zh-CN" w:bidi="ar"/>
              </w:rPr>
              <w:t>一</w:t>
            </w:r>
            <w:r>
              <w:rPr>
                <w:rFonts w:hint="default" w:ascii="Times New Roman" w:hAnsi="Times New Roman" w:eastAsia="仿宋_GB2312" w:cs="Times New Roman"/>
                <w:b w:val="0"/>
                <w:bCs w:val="0"/>
                <w:sz w:val="24"/>
                <w:szCs w:val="24"/>
                <w:lang w:bidi="ar"/>
              </w:rPr>
              <w:t>6</w:t>
            </w:r>
            <w:r>
              <w:rPr>
                <w:rFonts w:hint="default" w:ascii="Times New Roman" w:hAnsi="Times New Roman" w:eastAsia="仿宋_GB2312" w:cs="Times New Roman"/>
                <w:b w:val="0"/>
                <w:bCs w:val="0"/>
                <w:sz w:val="24"/>
                <w:szCs w:val="24"/>
              </w:rPr>
              <w:t>.【退休人员】</w:t>
            </w:r>
          </w:p>
        </w:tc>
        <w:tc>
          <w:tcPr>
            <w:tcW w:w="1789"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建议退休人员年龄原则上不得超过70周岁。理由：《地质灾害防治单位资质管理办法》规定：专业技术人员中退休人员数量不超过本办法规定的专业技术人员最低数量要求的百分之十。《办法》只规定最低数量要求，未对年龄进行规定，一般高级技术人员退休60周岁，若规定不得超过65周岁，限制过于严格。建议参考自然资源部发布实施的其它管理办法类似有关退休年龄的规定，如《城乡规划编制单位资质管理办法》（2024年1月24日自然资源部令第11号公布）第七条　城乡规划（国土空间规划）编制单位可以聘用70周岁以下的退休高级职称技术人员或者注册城乡规划师，甲级资质单位不超过2人，乙级资质单位不超过1人。</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vertAlign w:val="baseline"/>
                <w:lang w:eastAsia="zh-CN"/>
              </w:rPr>
              <w:t>采纳</w:t>
            </w:r>
          </w:p>
        </w:tc>
        <w:tc>
          <w:tcPr>
            <w:tcW w:w="901" w:type="pct"/>
            <w:vMerge w:val="restar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sz w:val="24"/>
                <w:szCs w:val="24"/>
              </w:rPr>
              <w:t>退休人员年龄</w:t>
            </w:r>
            <w:r>
              <w:rPr>
                <w:rFonts w:hint="default" w:ascii="Times New Roman" w:hAnsi="Times New Roman" w:eastAsia="仿宋_GB2312" w:cs="Times New Roman"/>
                <w:b w:val="0"/>
                <w:bCs w:val="0"/>
                <w:sz w:val="24"/>
                <w:szCs w:val="24"/>
                <w:lang w:eastAsia="zh-CN"/>
              </w:rPr>
              <w:t>应在</w:t>
            </w:r>
            <w:r>
              <w:rPr>
                <w:rFonts w:hint="default" w:ascii="Times New Roman" w:hAnsi="Times New Roman" w:eastAsia="仿宋_GB2312" w:cs="Times New Roman"/>
                <w:b w:val="0"/>
                <w:bCs w:val="0"/>
                <w:sz w:val="24"/>
                <w:szCs w:val="24"/>
                <w:lang w:val="en-US" w:eastAsia="zh-CN" w:bidi="ar"/>
              </w:rPr>
              <w:t>70</w:t>
            </w:r>
            <w:r>
              <w:rPr>
                <w:rFonts w:hint="default" w:ascii="Times New Roman" w:hAnsi="Times New Roman" w:eastAsia="仿宋_GB2312" w:cs="Times New Roman"/>
                <w:b w:val="0"/>
                <w:bCs w:val="0"/>
                <w:sz w:val="24"/>
                <w:szCs w:val="24"/>
                <w:lang w:bidi="ar"/>
              </w:rPr>
              <w:t>周岁</w:t>
            </w:r>
            <w:r>
              <w:rPr>
                <w:rFonts w:hint="default" w:ascii="Times New Roman" w:hAnsi="Times New Roman" w:eastAsia="仿宋_GB2312" w:cs="Times New Roman"/>
                <w:b w:val="0"/>
                <w:bCs w:val="0"/>
                <w:sz w:val="24"/>
                <w:szCs w:val="24"/>
                <w:lang w:eastAsia="zh-CN" w:bidi="ar"/>
              </w:rPr>
              <w:t>以下</w:t>
            </w:r>
            <w:r>
              <w:rPr>
                <w:rFonts w:hint="default" w:ascii="Times New Roman" w:hAnsi="Times New Roman" w:eastAsia="仿宋_GB2312" w:cs="Times New Roman"/>
                <w:b w:val="0"/>
                <w:bCs w:val="0"/>
                <w:sz w:val="24"/>
                <w:szCs w:val="24"/>
                <w:lang w:eastAsia="zh-CN"/>
              </w:rPr>
              <w:t>，并签订有</w:t>
            </w:r>
            <w:r>
              <w:rPr>
                <w:rFonts w:hint="default" w:ascii="Times New Roman" w:hAnsi="Times New Roman" w:eastAsia="仿宋_GB2312" w:cs="Times New Roman"/>
                <w:b w:val="0"/>
                <w:bCs w:val="0"/>
                <w:sz w:val="24"/>
                <w:szCs w:val="24"/>
                <w:lang w:bidi="ar"/>
              </w:rPr>
              <w:t>退休后</w:t>
            </w:r>
            <w:r>
              <w:rPr>
                <w:rFonts w:hint="default" w:ascii="Times New Roman" w:hAnsi="Times New Roman" w:eastAsia="仿宋_GB2312" w:cs="Times New Roman"/>
                <w:b w:val="0"/>
                <w:bCs w:val="0"/>
                <w:sz w:val="24"/>
                <w:szCs w:val="24"/>
                <w:lang w:eastAsia="zh-CN" w:bidi="ar"/>
              </w:rPr>
              <w:t>的聘用合同或聘用服务协议，聘用退休人员</w:t>
            </w:r>
            <w:r>
              <w:rPr>
                <w:rFonts w:hint="default" w:ascii="Times New Roman" w:hAnsi="Times New Roman" w:eastAsia="仿宋_GB2312" w:cs="Times New Roman"/>
                <w:b w:val="0"/>
                <w:bCs w:val="0"/>
                <w:sz w:val="24"/>
                <w:szCs w:val="24"/>
              </w:rPr>
              <w:t>数量不得超过《办法》规定</w:t>
            </w:r>
            <w:r>
              <w:rPr>
                <w:rFonts w:hint="default" w:ascii="Times New Roman" w:hAnsi="Times New Roman" w:eastAsia="仿宋_GB2312" w:cs="Times New Roman"/>
                <w:b w:val="0"/>
                <w:bCs w:val="0"/>
                <w:sz w:val="24"/>
                <w:szCs w:val="24"/>
                <w:lang w:eastAsia="zh-CN"/>
              </w:rPr>
              <w:t>的</w:t>
            </w:r>
            <w:r>
              <w:rPr>
                <w:rFonts w:hint="default" w:ascii="Times New Roman" w:hAnsi="Times New Roman" w:eastAsia="仿宋_GB2312" w:cs="Times New Roman"/>
                <w:b w:val="0"/>
                <w:bCs w:val="0"/>
                <w:sz w:val="24"/>
                <w:szCs w:val="24"/>
              </w:rPr>
              <w:t>最低专业技术人员数量的10%</w:t>
            </w:r>
            <w:r>
              <w:rPr>
                <w:rFonts w:hint="default" w:ascii="Times New Roman" w:hAnsi="Times New Roman" w:eastAsia="仿宋_GB2312" w:cs="Times New Roman"/>
                <w:b w:val="0"/>
                <w:bCs w:val="0"/>
                <w:sz w:val="24"/>
                <w:szCs w:val="24"/>
                <w:lang w:bidi="ar"/>
              </w:rPr>
              <w:t>。</w:t>
            </w:r>
          </w:p>
        </w:tc>
        <w:tc>
          <w:tcPr>
            <w:tcW w:w="954" w:type="pct"/>
            <w:vMerge w:val="restar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 w:type="pct"/>
            <w:vAlign w:val="center"/>
          </w:tcPr>
          <w:p>
            <w:pPr>
              <w:keepNext w:val="0"/>
              <w:keepLines w:val="0"/>
              <w:pageBreakBefore w:val="0"/>
              <w:kinsoku/>
              <w:wordWrap/>
              <w:overflowPunct/>
              <w:autoSpaceDE/>
              <w:autoSpaceDN/>
              <w:bidi w:val="0"/>
              <w:spacing w:line="360" w:lineRule="exact"/>
              <w:ind w:left="0" w:leftChars="0" w:firstLine="0" w:firstLineChars="0"/>
              <w:jc w:val="center"/>
              <w:rPr>
                <w:rFonts w:hint="default" w:ascii="Times New Roman" w:hAnsi="Times New Roman" w:eastAsia="宋体" w:cs="Times New Roman"/>
                <w:sz w:val="24"/>
                <w:szCs w:val="24"/>
                <w:lang w:val="en-US" w:eastAsia="zh-CN" w:bidi="ar"/>
              </w:rPr>
            </w:pPr>
            <w:r>
              <w:rPr>
                <w:rFonts w:hint="default" w:ascii="Times New Roman" w:hAnsi="Times New Roman" w:eastAsia="宋体" w:cs="Times New Roman"/>
                <w:sz w:val="24"/>
                <w:szCs w:val="24"/>
                <w:lang w:val="en-US" w:eastAsia="zh-CN" w:bidi="ar"/>
              </w:rPr>
              <w:t>7</w:t>
            </w:r>
          </w:p>
        </w:tc>
        <w:tc>
          <w:tcPr>
            <w:tcW w:w="588"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kern w:val="2"/>
                <w:sz w:val="24"/>
                <w:szCs w:val="24"/>
                <w:vertAlign w:val="baseline"/>
                <w:lang w:val="en-US" w:eastAsia="zh-CN" w:bidi="ar-SA"/>
              </w:rPr>
              <w:t>宁波市城市阳光环境技术有限公司</w:t>
            </w:r>
          </w:p>
        </w:tc>
        <w:tc>
          <w:tcPr>
            <w:tcW w:w="335" w:type="pct"/>
            <w:vMerge w:val="continue"/>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lang w:eastAsia="zh-CN" w:bidi="ar"/>
              </w:rPr>
            </w:pPr>
          </w:p>
        </w:tc>
        <w:tc>
          <w:tcPr>
            <w:tcW w:w="1789"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退休人员年龄原则上不得超过 70 周岁。理由：《地质灾害防治单位资质管理办法》规定： 专业技术人员 中退休人员数量不超过本办法规定的专业技术人员最低数量要求的百分之十。《办法》只规定最低数量要求， 未对年龄进行规定， 一般高级技术人员退休60周岁，若规定不得超过65周岁，限制过于严格。</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采纳</w:t>
            </w:r>
          </w:p>
        </w:tc>
        <w:tc>
          <w:tcPr>
            <w:tcW w:w="901" w:type="pct"/>
            <w:vMerge w:val="continue"/>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rPr>
            </w:pPr>
          </w:p>
        </w:tc>
        <w:tc>
          <w:tcPr>
            <w:tcW w:w="954" w:type="pct"/>
            <w:vMerge w:val="continue"/>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51" w:type="pct"/>
            <w:vAlign w:val="center"/>
          </w:tcPr>
          <w:p>
            <w:pPr>
              <w:keepNext w:val="0"/>
              <w:keepLines w:val="0"/>
              <w:pageBreakBefore w:val="0"/>
              <w:kinsoku/>
              <w:wordWrap/>
              <w:overflowPunct/>
              <w:autoSpaceDE/>
              <w:autoSpaceDN/>
              <w:bidi w:val="0"/>
              <w:spacing w:line="360" w:lineRule="exact"/>
              <w:ind w:left="0" w:leftChars="0" w:firstLine="0" w:firstLineChars="0"/>
              <w:jc w:val="center"/>
              <w:rPr>
                <w:rFonts w:hint="default" w:ascii="Times New Roman" w:hAnsi="Times New Roman" w:eastAsia="宋体" w:cs="Times New Roman"/>
                <w:sz w:val="24"/>
                <w:szCs w:val="24"/>
                <w:lang w:val="en-US" w:eastAsia="zh-CN" w:bidi="ar"/>
              </w:rPr>
            </w:pPr>
            <w:r>
              <w:rPr>
                <w:rFonts w:hint="default" w:ascii="Times New Roman" w:hAnsi="Times New Roman" w:eastAsia="宋体" w:cs="Times New Roman"/>
                <w:sz w:val="24"/>
                <w:szCs w:val="24"/>
                <w:lang w:val="en-US" w:eastAsia="zh-CN" w:bidi="ar"/>
              </w:rPr>
              <w:t>8</w:t>
            </w:r>
          </w:p>
        </w:tc>
        <w:tc>
          <w:tcPr>
            <w:tcW w:w="588"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浙江中林地质环境科技有限公司</w:t>
            </w:r>
          </w:p>
        </w:tc>
        <w:tc>
          <w:tcPr>
            <w:tcW w:w="335" w:type="pct"/>
            <w:vMerge w:val="continue"/>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lang w:eastAsia="zh-CN" w:bidi="ar"/>
              </w:rPr>
            </w:pPr>
          </w:p>
        </w:tc>
        <w:tc>
          <w:tcPr>
            <w:tcW w:w="1789"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办法只规定退休人员数量要求，未对年龄进行限制。不应层层加码，从正式退休60周岁至65周岁，仅只有5年服务周期，太短了。</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采纳</w:t>
            </w:r>
          </w:p>
        </w:tc>
        <w:tc>
          <w:tcPr>
            <w:tcW w:w="901" w:type="pct"/>
            <w:vMerge w:val="continue"/>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rPr>
            </w:pPr>
          </w:p>
        </w:tc>
        <w:tc>
          <w:tcPr>
            <w:tcW w:w="954" w:type="pct"/>
            <w:vMerge w:val="continue"/>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1" w:type="pct"/>
            <w:vAlign w:val="center"/>
          </w:tcPr>
          <w:p>
            <w:pPr>
              <w:keepNext w:val="0"/>
              <w:keepLines w:val="0"/>
              <w:pageBreakBefore w:val="0"/>
              <w:kinsoku/>
              <w:wordWrap/>
              <w:overflowPunct/>
              <w:autoSpaceDE/>
              <w:autoSpaceDN/>
              <w:bidi w:val="0"/>
              <w:spacing w:line="360" w:lineRule="exact"/>
              <w:ind w:left="0" w:leftChars="0" w:firstLine="0" w:firstLineChars="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9</w:t>
            </w:r>
          </w:p>
        </w:tc>
        <w:tc>
          <w:tcPr>
            <w:tcW w:w="588"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i w:val="0"/>
                <w:caps w:val="0"/>
                <w:color w:val="171A1D"/>
                <w:spacing w:val="0"/>
                <w:kern w:val="2"/>
                <w:sz w:val="24"/>
                <w:szCs w:val="24"/>
                <w:shd w:val="clear" w:fill="auto"/>
                <w:lang w:val="en-US" w:eastAsia="zh-CN" w:bidi="ar"/>
              </w:rPr>
              <w:t>浙江有色地勘集团有限公司</w:t>
            </w:r>
          </w:p>
        </w:tc>
        <w:tc>
          <w:tcPr>
            <w:tcW w:w="335" w:type="pct"/>
            <w:vMerge w:val="restar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sz w:val="24"/>
                <w:szCs w:val="24"/>
                <w:lang w:eastAsia="zh-CN"/>
              </w:rPr>
              <w:t>一</w:t>
            </w:r>
            <w:r>
              <w:rPr>
                <w:rFonts w:hint="default" w:ascii="Times New Roman" w:hAnsi="Times New Roman" w:eastAsia="仿宋_GB2312" w:cs="Times New Roman"/>
                <w:b w:val="0"/>
                <w:bCs w:val="0"/>
                <w:sz w:val="24"/>
                <w:szCs w:val="24"/>
              </w:rPr>
              <w:t>8.【社保要求】</w:t>
            </w:r>
          </w:p>
        </w:tc>
        <w:tc>
          <w:tcPr>
            <w:tcW w:w="1789" w:type="pct"/>
            <w:vAlign w:val="center"/>
          </w:tcPr>
          <w:p>
            <w:pPr>
              <w:keepNext w:val="0"/>
              <w:keepLines w:val="0"/>
              <w:pageBreakBefore w:val="0"/>
              <w:widowControl/>
              <w:suppressLineNumbers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vertAlign w:val="baseline"/>
                <w:lang w:eastAsia="zh-CN"/>
              </w:rPr>
              <w:t>由于地勘单位事企分离改革，我单位在改革过度期内存在部分事借企人员，征求意见稿中提到“资质申请单位应提供合并、转制批复文件以及该单位的上一级主管部门出具的认可证明等佐证材料，可予以认可。”针对此案例，可否明确上一级主管部门是指企业上一级主管部门还是事借企人员社保所在事业单位或是事业上一级主管部门。并且此类事借企人员在项目招投标过程中社保也存在缴纳单位与实际单位不一致的问题，省厅可否出具相应函件来解决企业实际困难。</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sz w:val="24"/>
                <w:szCs w:val="24"/>
                <w:vertAlign w:val="baseline"/>
                <w:lang w:eastAsia="zh-CN"/>
              </w:rPr>
              <w:t>未采纳</w:t>
            </w:r>
          </w:p>
        </w:tc>
        <w:tc>
          <w:tcPr>
            <w:tcW w:w="901" w:type="pct"/>
            <w:vMerge w:val="restart"/>
            <w:vAlign w:val="center"/>
          </w:tcPr>
          <w:p>
            <w:pPr>
              <w:keepNext w:val="0"/>
              <w:keepLines w:val="0"/>
              <w:pageBreakBefore w:val="0"/>
              <w:widowControl/>
              <w:numPr>
                <w:ilvl w:val="0"/>
                <w:numId w:val="0"/>
              </w:numPr>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rPr>
            </w:pPr>
          </w:p>
        </w:tc>
        <w:tc>
          <w:tcPr>
            <w:tcW w:w="954"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本文规定已明确，个例视具体情况而定。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51" w:type="pct"/>
            <w:vAlign w:val="center"/>
          </w:tcPr>
          <w:p>
            <w:pPr>
              <w:keepNext w:val="0"/>
              <w:keepLines w:val="0"/>
              <w:pageBreakBefore w:val="0"/>
              <w:kinsoku/>
              <w:wordWrap/>
              <w:overflowPunct/>
              <w:autoSpaceDE/>
              <w:autoSpaceDN/>
              <w:bidi w:val="0"/>
              <w:spacing w:line="360" w:lineRule="exact"/>
              <w:ind w:left="0" w:leftChars="0" w:firstLine="0" w:firstLineChars="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10</w:t>
            </w:r>
          </w:p>
        </w:tc>
        <w:tc>
          <w:tcPr>
            <w:tcW w:w="588"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vertAlign w:val="baseline"/>
                <w:lang w:val="en-US" w:eastAsia="zh-CN"/>
              </w:rPr>
              <w:t>浙江中林地质环境科技有限公司</w:t>
            </w:r>
          </w:p>
        </w:tc>
        <w:tc>
          <w:tcPr>
            <w:tcW w:w="335" w:type="pct"/>
            <w:vMerge w:val="continue"/>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lang w:eastAsia="zh-CN"/>
              </w:rPr>
            </w:pPr>
          </w:p>
        </w:tc>
        <w:tc>
          <w:tcPr>
            <w:tcW w:w="1789" w:type="pct"/>
            <w:vAlign w:val="center"/>
          </w:tcPr>
          <w:p>
            <w:pPr>
              <w:keepNext w:val="0"/>
              <w:keepLines w:val="0"/>
              <w:pageBreakBefore w:val="0"/>
              <w:widowControl/>
              <w:suppressLineNumbers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目前浙江省社会保险参保证明（单位专用）可以显示每个该单位员工3个月连续参保，50人2张纸单位就可以操作完成，现在招投标个人多个月社保记录也是用单位专用提供。而个人专用版，需要每个人职员进入浙里办办理，50人就需要通知50人办理，工作量较大</w:t>
            </w:r>
            <w:r>
              <w:rPr>
                <w:rFonts w:hint="default" w:ascii="Times New Roman" w:hAnsi="Times New Roman" w:eastAsia="仿宋_GB2312" w:cs="Times New Roman"/>
                <w:b w:val="0"/>
                <w:bCs w:val="0"/>
                <w:sz w:val="24"/>
                <w:szCs w:val="24"/>
                <w:vertAlign w:val="baseline"/>
                <w:lang w:eastAsia="zh-CN"/>
              </w:rPr>
              <w:t>。</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sz w:val="24"/>
                <w:szCs w:val="24"/>
                <w:vertAlign w:val="baseline"/>
                <w:lang w:eastAsia="zh-CN"/>
              </w:rPr>
              <w:t>未采纳</w:t>
            </w:r>
          </w:p>
        </w:tc>
        <w:tc>
          <w:tcPr>
            <w:tcW w:w="901" w:type="pct"/>
            <w:vMerge w:val="continue"/>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rPr>
            </w:pPr>
          </w:p>
        </w:tc>
        <w:tc>
          <w:tcPr>
            <w:tcW w:w="954"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eastAsia="zh-CN"/>
              </w:rPr>
              <w:t>本文未限定</w:t>
            </w:r>
            <w:r>
              <w:rPr>
                <w:rFonts w:hint="default" w:ascii="Times New Roman" w:hAnsi="Times New Roman" w:eastAsia="仿宋_GB2312" w:cs="Times New Roman"/>
                <w:b w:val="0"/>
                <w:bCs w:val="0"/>
                <w:sz w:val="24"/>
                <w:szCs w:val="24"/>
                <w:vertAlign w:val="baseline"/>
              </w:rPr>
              <w:t>具体形式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 w:type="pct"/>
            <w:vAlign w:val="center"/>
          </w:tcPr>
          <w:p>
            <w:pPr>
              <w:keepNext w:val="0"/>
              <w:keepLines w:val="0"/>
              <w:pageBreakBefore w:val="0"/>
              <w:kinsoku/>
              <w:wordWrap/>
              <w:overflowPunct/>
              <w:autoSpaceDE/>
              <w:autoSpaceDN/>
              <w:bidi w:val="0"/>
              <w:spacing w:line="360" w:lineRule="exact"/>
              <w:ind w:left="0" w:leftChars="0" w:firstLine="0" w:firstLineChars="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11</w:t>
            </w:r>
          </w:p>
        </w:tc>
        <w:tc>
          <w:tcPr>
            <w:tcW w:w="588"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vertAlign w:val="baseline"/>
                <w:lang w:eastAsia="zh-CN"/>
              </w:rPr>
              <w:t>浙江有色地勘集团有限公司</w:t>
            </w:r>
          </w:p>
        </w:tc>
        <w:tc>
          <w:tcPr>
            <w:tcW w:w="335" w:type="pct"/>
            <w:vMerge w:val="restar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sz w:val="24"/>
                <w:szCs w:val="24"/>
                <w:lang w:eastAsia="zh-CN"/>
              </w:rPr>
              <w:t>二</w:t>
            </w:r>
            <w:r>
              <w:rPr>
                <w:rFonts w:hint="default" w:ascii="Times New Roman" w:hAnsi="Times New Roman" w:eastAsia="仿宋_GB2312" w:cs="Times New Roman"/>
                <w:b w:val="0"/>
                <w:bCs w:val="0"/>
                <w:sz w:val="24"/>
                <w:szCs w:val="24"/>
              </w:rPr>
              <w:t>1.【设备类型】</w:t>
            </w:r>
          </w:p>
        </w:tc>
        <w:tc>
          <w:tcPr>
            <w:tcW w:w="1789" w:type="pct"/>
            <w:vAlign w:val="center"/>
          </w:tcPr>
          <w:p>
            <w:pPr>
              <w:pStyle w:val="13"/>
              <w:keepNext w:val="0"/>
              <w:keepLines w:val="0"/>
              <w:pageBreakBefore w:val="0"/>
              <w:widowControl w:val="0"/>
              <w:kinsoku/>
              <w:wordWrap/>
              <w:overflowPunct/>
              <w:topLinePunct/>
              <w:autoSpaceDE/>
              <w:autoSpaceDN/>
              <w:bidi w:val="0"/>
              <w:adjustRightInd w:val="0"/>
              <w:snapToGrid w:val="0"/>
              <w:spacing w:after="0" w:line="360" w:lineRule="exact"/>
              <w:ind w:left="0" w:leftChars="0" w:firstLine="480" w:firstLineChars="200"/>
              <w:jc w:val="left"/>
              <w:textAlignment w:val="auto"/>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vertAlign w:val="baseline"/>
                <w:lang w:eastAsia="zh-CN"/>
              </w:rPr>
              <w:t>监理单位实施相</w:t>
            </w:r>
            <w:r>
              <w:rPr>
                <w:rFonts w:hint="default" w:ascii="Times New Roman" w:hAnsi="Times New Roman" w:eastAsia="仿宋_GB2312" w:cs="Times New Roman"/>
                <w:b w:val="0"/>
                <w:bCs w:val="0"/>
                <w:sz w:val="24"/>
                <w:szCs w:val="24"/>
                <w:lang w:eastAsia="zh-CN"/>
              </w:rPr>
              <w:t>关类型的监测目前一般采用邀请第三方具有监测资质的单位进行监测，建议取消监理设备要求。</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vertAlign w:val="baseline"/>
                <w:lang w:eastAsia="zh-CN"/>
              </w:rPr>
              <w:t>未采纳</w:t>
            </w:r>
          </w:p>
        </w:tc>
        <w:tc>
          <w:tcPr>
            <w:tcW w:w="901" w:type="pct"/>
            <w:vMerge w:val="restar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设备设施应满足各类别资质对应的使用要求：</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kern w:val="2"/>
                <w:sz w:val="24"/>
                <w:szCs w:val="24"/>
                <w:lang w:val="en-US" w:eastAsia="zh-CN" w:bidi="ar-SA"/>
              </w:rPr>
              <w:t>（3）地质灾害治理工程监理资质申请单位应具备全站仪、水准仪以及检测砂浆、混凝土和锚杆等土工构件强度的设备设施。</w:t>
            </w:r>
          </w:p>
        </w:tc>
        <w:tc>
          <w:tcPr>
            <w:tcW w:w="954"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sz w:val="24"/>
                <w:szCs w:val="24"/>
                <w:vertAlign w:val="baseline"/>
              </w:rPr>
              <w:t>地质灾害防治条例第三十六条：..承担专项地质灾害治理工程勘查、设计、施工和监理的单位，应当具备下列条件...（三）有相应的技术装备；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151" w:type="pct"/>
            <w:vAlign w:val="center"/>
          </w:tcPr>
          <w:p>
            <w:pPr>
              <w:keepNext w:val="0"/>
              <w:keepLines w:val="0"/>
              <w:pageBreakBefore w:val="0"/>
              <w:kinsoku/>
              <w:wordWrap/>
              <w:overflowPunct/>
              <w:autoSpaceDE/>
              <w:autoSpaceDN/>
              <w:bidi w:val="0"/>
              <w:spacing w:line="360" w:lineRule="exact"/>
              <w:ind w:left="0" w:leftChars="0" w:firstLine="0" w:firstLineChars="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12</w:t>
            </w:r>
          </w:p>
        </w:tc>
        <w:tc>
          <w:tcPr>
            <w:tcW w:w="588"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val="en-US" w:eastAsia="zh-CN"/>
              </w:rPr>
              <w:t>杭州泰川建设技术有限公司</w:t>
            </w:r>
          </w:p>
        </w:tc>
        <w:tc>
          <w:tcPr>
            <w:tcW w:w="335" w:type="pct"/>
            <w:vMerge w:val="continue"/>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lang w:eastAsia="zh-CN"/>
              </w:rPr>
            </w:pPr>
          </w:p>
        </w:tc>
        <w:tc>
          <w:tcPr>
            <w:tcW w:w="1789"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kern w:val="2"/>
                <w:sz w:val="24"/>
                <w:szCs w:val="24"/>
                <w:lang w:val="en-US" w:eastAsia="zh-CN" w:bidi="ar-SA"/>
              </w:rPr>
              <w:t>地质灾害治理工程监理资质申请单位应具备检测砂浆、混凝土、钢筋和锚杆等土工构件强度的设备设施。（检测设备中建议增加全站仪、水准仪，建议取消钢筋检测仪器，增加锚杆抗拉拔试验仪器，钢筋的检测主要由第三方专业资质的检测机构出具检测报告才具有权威）。</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采纳</w:t>
            </w:r>
          </w:p>
        </w:tc>
        <w:tc>
          <w:tcPr>
            <w:tcW w:w="901" w:type="pct"/>
            <w:vMerge w:val="continue"/>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rPr>
            </w:pPr>
          </w:p>
        </w:tc>
        <w:tc>
          <w:tcPr>
            <w:tcW w:w="954"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51" w:type="pct"/>
            <w:vAlign w:val="center"/>
          </w:tcPr>
          <w:p>
            <w:pPr>
              <w:keepNext w:val="0"/>
              <w:keepLines w:val="0"/>
              <w:pageBreakBefore w:val="0"/>
              <w:kinsoku/>
              <w:wordWrap/>
              <w:overflowPunct/>
              <w:autoSpaceDE/>
              <w:autoSpaceDN/>
              <w:bidi w:val="0"/>
              <w:spacing w:line="360" w:lineRule="exact"/>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13</w:t>
            </w:r>
          </w:p>
        </w:tc>
        <w:tc>
          <w:tcPr>
            <w:tcW w:w="588"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kern w:val="2"/>
                <w:sz w:val="24"/>
                <w:szCs w:val="24"/>
                <w:lang w:val="en-US" w:eastAsia="zh-CN" w:bidi="ar-SA"/>
              </w:rPr>
              <w:t>浙江有色地勘集团有限公司</w:t>
            </w:r>
          </w:p>
        </w:tc>
        <w:tc>
          <w:tcPr>
            <w:tcW w:w="335" w:type="pct"/>
            <w:vMerge w:val="restar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eastAsia="zh-CN"/>
              </w:rPr>
              <w:t>三</w:t>
            </w:r>
            <w:r>
              <w:rPr>
                <w:rFonts w:hint="default" w:ascii="Times New Roman" w:hAnsi="Times New Roman" w:eastAsia="仿宋_GB2312" w:cs="Times New Roman"/>
                <w:b w:val="0"/>
                <w:bCs w:val="0"/>
                <w:sz w:val="24"/>
                <w:szCs w:val="24"/>
              </w:rPr>
              <w:t>1.【业绩认定】</w:t>
            </w:r>
          </w:p>
        </w:tc>
        <w:tc>
          <w:tcPr>
            <w:tcW w:w="1789"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1.“地质灾害治理工程施工项目应纳入浙江省地质灾害信息管理系统地质灾害隐患点(风险防范区)库管理。”针对这条，不纳入库管的废弃矿山修复和治理是否也可以作为地灾业绩。</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2.“地质灾害治理工程勘查设计中要求需要项目备案表”，目前部分地区不需要项目备案或只有年度备案。</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eastAsia="仿宋_GB2312" w:cs="Times New Roman"/>
                <w:b w:val="0"/>
                <w:bCs w:val="0"/>
                <w:kern w:val="2"/>
                <w:sz w:val="24"/>
                <w:szCs w:val="24"/>
                <w:lang w:val="en-US" w:eastAsia="zh-CN" w:bidi="ar-SA"/>
              </w:rPr>
              <w:t>3.附表3中地质灾害治理工程勘查设计类业绩认定证明材料中要求的“项目备案表”，因缺少像评估类项目的明确管理体系支撑，对于跨行业的地质灾害治理项目备案存在难度，建议取消。</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sz w:val="24"/>
                <w:szCs w:val="24"/>
                <w:lang w:val="en-US" w:eastAsia="zh-CN"/>
              </w:rPr>
              <w:t>部分采纳</w:t>
            </w:r>
          </w:p>
        </w:tc>
        <w:tc>
          <w:tcPr>
            <w:tcW w:w="901"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采纳部分：业绩材料可提供项目备案表或当地自然资源主管部门出具的情况说明。</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未采纳部分：矿山生态环境治理项目纳入地质灾害防治业绩。</w:t>
            </w:r>
          </w:p>
        </w:tc>
        <w:tc>
          <w:tcPr>
            <w:tcW w:w="954"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val="en-US" w:eastAsia="zh-CN"/>
              </w:rPr>
              <w:t>矿山生态修复治理项目并不等同于地质灾害治理工程项目，依据的技术规程及实施的主要手段存在差异；对于存在地质灾害隐患的矿山生态环境治理项目，纳入地质灾害隐患点管理后，可作为地质灾害治理业绩。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51" w:type="pct"/>
            <w:vAlign w:val="center"/>
          </w:tcPr>
          <w:p>
            <w:pPr>
              <w:keepNext w:val="0"/>
              <w:keepLines w:val="0"/>
              <w:pageBreakBefore w:val="0"/>
              <w:kinsoku/>
              <w:wordWrap/>
              <w:overflowPunct/>
              <w:autoSpaceDE/>
              <w:autoSpaceDN/>
              <w:bidi w:val="0"/>
              <w:spacing w:line="360" w:lineRule="exact"/>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14</w:t>
            </w:r>
          </w:p>
        </w:tc>
        <w:tc>
          <w:tcPr>
            <w:tcW w:w="588"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浙江中林地质环境科技有限公司</w:t>
            </w:r>
          </w:p>
        </w:tc>
        <w:tc>
          <w:tcPr>
            <w:tcW w:w="335" w:type="pct"/>
            <w:vMerge w:val="continue"/>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lang w:eastAsia="zh-CN"/>
              </w:rPr>
            </w:pPr>
          </w:p>
        </w:tc>
        <w:tc>
          <w:tcPr>
            <w:tcW w:w="1789"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1.办法只规定独立承担并完成地质灾害治理工程施工项目，而认定标准又要入库又要备案，难道不入库不备案的项目不是地质灾害治理工程施工项目，只要证明其真实性就应该满足其办法规定要求，真实性可以是中标网上查询截图，县级自然资源部门证明等等，入库和备案要求太严了。</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2.项目备案表依据老管理办法《地质灾害治理工程勘查设计施工单位资质管理办法》第二十七条　承担地质灾害治理工程项目的资质单位，应当在项目合同签订后十日内，到工程所在地的县级国土资源管理部门备案。但现行管理办法《地质灾害防治单位资质管理办法》（自然资源部令第8号）无此条规定。</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采纳</w:t>
            </w:r>
          </w:p>
        </w:tc>
        <w:tc>
          <w:tcPr>
            <w:tcW w:w="901"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已删除地质灾害隐患点库管理相关要求；业绩材料改为可提供项目备案表或当地自然资源主管部门出具的情况说明。</w:t>
            </w:r>
          </w:p>
          <w:p>
            <w:pPr>
              <w:keepNext w:val="0"/>
              <w:keepLines w:val="0"/>
              <w:pageBreakBefore w:val="0"/>
              <w:kinsoku/>
              <w:wordWrap/>
              <w:overflowPunct/>
              <w:autoSpaceDE/>
              <w:autoSpaceDN/>
              <w:bidi w:val="0"/>
              <w:spacing w:line="360" w:lineRule="exact"/>
              <w:ind w:left="0" w:leftChars="0" w:firstLine="480" w:firstLineChars="200"/>
              <w:jc w:val="center"/>
              <w:textAlignment w:val="auto"/>
              <w:rPr>
                <w:rFonts w:hint="default" w:ascii="Times New Roman" w:hAnsi="Times New Roman" w:eastAsia="仿宋_GB2312" w:cs="Times New Roman"/>
                <w:b w:val="0"/>
                <w:bCs w:val="0"/>
                <w:kern w:val="2"/>
                <w:sz w:val="24"/>
                <w:szCs w:val="24"/>
                <w:lang w:val="en-US" w:eastAsia="zh-CN" w:bidi="ar-SA"/>
              </w:rPr>
            </w:pPr>
          </w:p>
        </w:tc>
        <w:tc>
          <w:tcPr>
            <w:tcW w:w="954"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51"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15</w:t>
            </w:r>
          </w:p>
        </w:tc>
        <w:tc>
          <w:tcPr>
            <w:tcW w:w="588"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杭州泰川建设技术有限公司</w:t>
            </w:r>
          </w:p>
        </w:tc>
        <w:tc>
          <w:tcPr>
            <w:tcW w:w="335" w:type="pct"/>
            <w:vMerge w:val="continue"/>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sz w:val="24"/>
                <w:szCs w:val="24"/>
                <w:vertAlign w:val="baseline"/>
                <w:lang w:val="en-US" w:eastAsia="zh-CN"/>
              </w:rPr>
            </w:pPr>
          </w:p>
        </w:tc>
        <w:tc>
          <w:tcPr>
            <w:tcW w:w="1789"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附表3各类业绩证明材料一览表，由于各级地方自规部门的工作业务程序不统一，因此很多项目没有办法提供项目备案表，业务手册能完整的显示每个项目的相关信息，建议业绩的证明材料中注明：项目备案表或项目的业务手册。</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2.常规治理工程建议备注一下含自规部门参与的边坡防护治理项目及废弃矿山治理项目，且需提供项目业务手册。</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部分采纳</w:t>
            </w:r>
          </w:p>
        </w:tc>
        <w:tc>
          <w:tcPr>
            <w:tcW w:w="901"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采纳部分：业绩材料改为可提供项目备案表或当地自然资源主管部门出具的情况说明。</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未采纳部分：矿山生态修复业绩纳入地质灾害。</w:t>
            </w:r>
          </w:p>
        </w:tc>
        <w:tc>
          <w:tcPr>
            <w:tcW w:w="954"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sz w:val="24"/>
                <w:szCs w:val="24"/>
                <w:vertAlign w:val="baseline"/>
                <w:lang w:val="en-US" w:eastAsia="zh-CN"/>
              </w:rPr>
              <w:t>矿山生态修复治理项目并不等同于地质灾害治理工程项目，依据的技术规程及实施的主要手段存在差异；对于存在地质灾害隐患的矿山生态环境治理项目，纳入地质灾害隐患点管理后，可作为地质灾害治理业绩。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16</w:t>
            </w:r>
          </w:p>
        </w:tc>
        <w:tc>
          <w:tcPr>
            <w:tcW w:w="588"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中化地质矿山总局浙江地质勘查院</w:t>
            </w:r>
          </w:p>
        </w:tc>
        <w:tc>
          <w:tcPr>
            <w:tcW w:w="335" w:type="pct"/>
            <w:vMerge w:val="continue"/>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p>
        </w:tc>
        <w:tc>
          <w:tcPr>
            <w:tcW w:w="1789"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1.对于勘查、施工、监理业绩证明材料所要求增加的“项目备案表”，由于各地没有统一要求，及跨行业备案没有管理制度支撑，将对申报单位造成工作困难，建议取消。</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sz w:val="24"/>
                <w:szCs w:val="24"/>
                <w:vertAlign w:val="baseline"/>
                <w:lang w:val="en-US" w:eastAsia="zh-CN"/>
              </w:rPr>
              <w:t>2.对于附表3中关于地灾治理工程施工和工程监理的备注“1.地质灾害治理工程施工项目应纳入浙江省地质灾害信息管理系统地质灾害隐患点（风险防范区）库管理 ”，目前仅涵盖县市资规局项目，建议允许将非资规部门监管的地灾治理项目在向地方资规提交报告的情况下视作业绩。</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采纳</w:t>
            </w:r>
          </w:p>
        </w:tc>
        <w:tc>
          <w:tcPr>
            <w:tcW w:w="901"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已删除地质灾害隐患点库管理相关要求；业绩材料改为可提供项目备案表或当地自然资源主管部门出具的情况说明。</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p>
        </w:tc>
        <w:tc>
          <w:tcPr>
            <w:tcW w:w="954"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2" w:hRule="atLeast"/>
        </w:trPr>
        <w:tc>
          <w:tcPr>
            <w:tcW w:w="151"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17</w:t>
            </w:r>
          </w:p>
        </w:tc>
        <w:tc>
          <w:tcPr>
            <w:tcW w:w="588"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浙江启航园林工程有限公司</w:t>
            </w:r>
          </w:p>
        </w:tc>
        <w:tc>
          <w:tcPr>
            <w:tcW w:w="335" w:type="pct"/>
            <w:vMerge w:val="continue"/>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p>
        </w:tc>
        <w:tc>
          <w:tcPr>
            <w:tcW w:w="1789"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1.建议取消纳入浙江省地质灾害信息管理系统地质灾害隐患点（风险防范区）库管理。理由： 2017-2019年开展的全省地质灾害隐患综合治理“除险安居”三年行动以来，浙江省大部分地质灾害项目均已治理，2020年以后至今台风等恶劣天气发生的地质灾害比以前减少很多，近几年浙江省地质灾害项目总量减少，且纳入浙江省地质灾害信息管理系统地质灾害隐患点（风险防范区）库管理的地质灾害项目更加少，目前全省各县自规局纳入浙江省地质灾害信息管理系统地质灾害隐患点（风险防范区）库管理的大部分是治理经费为省市财政拨款，其它部分财政拨款和自筹资金的项目均未纳入库管理。</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2.建议优化单位业绩证明材料。理由：目前项目备案表个别县自规局不提供备案，或者只对省里财政拨款项目允许备案，故证明材料项目备案表是否可以用中标通知书、自然资源部门出具的相关证明代替。《管理办法》仅要求独立承担并完成地质灾害治理工程施工项目，只要能证明地质灾害治理工程施工项目的真实性就应该满足《管理办法》要求即可。</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3.建议项目类型增加矿山生态修复工程业绩认定。理由：近几年全省地质灾害防治单位主要工作为矿山生态修复，承接地质灾害常规治理工程并不多，且金额也不大，这是浙江省地质灾害防治单位的近几年的现状。原自然资源部在审批老管理办法时《地质灾害治理工程勘查设计施工单位资质管理办法》（国土资源部令第30号）单位业绩时矿山生态修复业绩（修复措施符合地质灾害常规措施）也可以认定为地质灾害项目业绩。</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eastAsia="仿宋_GB2312" w:cs="Times New Roman"/>
                <w:b w:val="0"/>
                <w:bCs w:val="0"/>
                <w:sz w:val="24"/>
                <w:szCs w:val="24"/>
                <w:vertAlign w:val="baseline"/>
                <w:lang w:val="en-US" w:eastAsia="zh-CN"/>
              </w:rPr>
              <w:t>4.建议增加省外地质灾害项目业绩认定。理由：全省地质灾害防治单位不但承接省内的项目，也承接省外地质灾害项目，但业绩认定要求地质灾害治理工程施工项目应纳入浙江省地质灾害信息管理系统地质灾害隐患点（风险防范区）库管理。省外地质灾害项目无法纳入本省库管理。</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部分采纳</w:t>
            </w:r>
          </w:p>
        </w:tc>
        <w:tc>
          <w:tcPr>
            <w:tcW w:w="901"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采纳部分：已删除地质灾害隐患点库管理相关要求；业绩材料改为可提供项目备案表或当地自然资源主管部门出具的情况说明。</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未采纳部分：矿山生态修复业绩纳入地质灾害。</w:t>
            </w:r>
          </w:p>
        </w:tc>
        <w:tc>
          <w:tcPr>
            <w:tcW w:w="954"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sz w:val="24"/>
                <w:szCs w:val="24"/>
                <w:vertAlign w:val="baseline"/>
                <w:lang w:val="en-US" w:eastAsia="zh-CN"/>
              </w:rPr>
              <w:t>矿山生态修复治理项目并不等同于地质灾害治理工程项目，依据的技术规程及实施的主要手段存在差异；对于存在地质灾害隐患的矿山生态环境治理项目，纳入地质灾害隐患点管理后，可作为地质灾害治理业绩。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51"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18</w:t>
            </w:r>
          </w:p>
        </w:tc>
        <w:tc>
          <w:tcPr>
            <w:tcW w:w="588"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浙江省工程勘察设计院集团有限公司</w:t>
            </w:r>
          </w:p>
        </w:tc>
        <w:tc>
          <w:tcPr>
            <w:tcW w:w="335" w:type="pct"/>
            <w:vMerge w:val="continue"/>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p>
        </w:tc>
        <w:tc>
          <w:tcPr>
            <w:tcW w:w="1789"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sz w:val="24"/>
                <w:szCs w:val="24"/>
                <w:vertAlign w:val="baseline"/>
                <w:lang w:val="en-US" w:eastAsia="zh-CN"/>
              </w:rPr>
              <w:t>附表3中规定地质灾害治理工程施工项目应纳入浙江省地质灾害信息管理系统地质灾害隐患点（风险防范区）库管理。部分地区可能存在施工项目未及时纳入浙江省地质灾害信息管理系统地质灾害隐患点（风险防范区）库，建议修改或补充其它形式的认可条件，包括省外地灾施工项目是否也予以认可。各类业绩证明材料一览表中的“项目备案表”的要求，浙江是否需要出台相应的管理要求。根据《地质灾害防治单位资质管理办法》已经不要求“项目签订合同10日内，进行项目备案登记”。</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采纳</w:t>
            </w:r>
          </w:p>
        </w:tc>
        <w:tc>
          <w:tcPr>
            <w:tcW w:w="901"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采纳部分：已删除地质灾害隐患点库管理相关要求，业绩材料改为：可提供项目备案表或当地自然资源主管部门出具的情况说明。</w:t>
            </w:r>
          </w:p>
        </w:tc>
        <w:tc>
          <w:tcPr>
            <w:tcW w:w="954"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51"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19</w:t>
            </w:r>
          </w:p>
        </w:tc>
        <w:tc>
          <w:tcPr>
            <w:tcW w:w="588"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勤工建设集团有限公司</w:t>
            </w:r>
          </w:p>
        </w:tc>
        <w:tc>
          <w:tcPr>
            <w:tcW w:w="335" w:type="pct"/>
            <w:vMerge w:val="continue"/>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p>
        </w:tc>
        <w:tc>
          <w:tcPr>
            <w:tcW w:w="1789"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关于取消纳入浙江省地质灾害信息管理系统地质灾害隐患点（风险防范区）库管理的建议。近年来，浙江省自然资源厅高度重视地质灾害防治工作，在2017年部署开展了地质灾害隐患综合治理“除险安居”三年行动，在全国率先实现了已查明重大地质灾害隐患基本清零的目标，且在20年后因自然灾害原因导致的地质灾害相比减少很多，其中部分是由地方自筹资金进行治理，该部分未纳入浙江省地质灾害信息管理系统地质灾害隐患点（风险防范区）库管理。</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2.关于增加矿山生态修复业绩的认定。在2017年部署开展了地质灾害隐患综合治理“除险安居”三年行动之后，地质灾害项目总量减少，近年来浙江省内主要以矿山生态修复为主，该类项目也是用地质灾害资质进行招投标。原自然资源部对审批地质灾害资质的业绩认定也认可矿山生态修复的业绩。</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eastAsia="仿宋_GB2312" w:cs="Times New Roman"/>
                <w:b w:val="0"/>
                <w:bCs w:val="0"/>
                <w:sz w:val="24"/>
                <w:szCs w:val="24"/>
                <w:vertAlign w:val="baseline"/>
                <w:lang w:val="en-US" w:eastAsia="zh-CN"/>
              </w:rPr>
              <w:t>3.增加单位业绩证明材料。目前个别地方规资局对地质灾害项目不提供备案或只对财政专项资金项目提供备案，故建议证明材料增加中标通知书、合同等（满足其中一项即可）可以证明该项目的真实性以及是由施工方独立承担完成的地质灾害治理项目即可</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部分采纳</w:t>
            </w:r>
          </w:p>
        </w:tc>
        <w:tc>
          <w:tcPr>
            <w:tcW w:w="901"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采纳部分：已删除地质灾害隐患点库管理相关要求；业绩材料改为可提供项目备案表或当地自然资源主管部门出具的情况说明。</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未采纳部分：矿山生态修复业绩纳入地质灾害。</w:t>
            </w:r>
          </w:p>
        </w:tc>
        <w:tc>
          <w:tcPr>
            <w:tcW w:w="954"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sz w:val="24"/>
                <w:szCs w:val="24"/>
                <w:vertAlign w:val="baseline"/>
                <w:lang w:val="en-US" w:eastAsia="zh-CN"/>
              </w:rPr>
              <w:t>矿山生态修复治理项目并不等同于地质灾害治理工程项目，依据的技术规程及实施的主要手段存在差异；对于存在地质灾害隐患的矿山生态环境治理项目，纳入地质灾害隐患点管理后，可作为地质灾害治理业绩。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51"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20</w:t>
            </w:r>
          </w:p>
        </w:tc>
        <w:tc>
          <w:tcPr>
            <w:tcW w:w="588"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浙江数智交院科技股份有限公司</w:t>
            </w:r>
          </w:p>
        </w:tc>
        <w:tc>
          <w:tcPr>
            <w:tcW w:w="335" w:type="pct"/>
            <w:vMerge w:val="continue"/>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p>
        </w:tc>
        <w:tc>
          <w:tcPr>
            <w:tcW w:w="1789"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sz w:val="24"/>
                <w:szCs w:val="24"/>
                <w:vertAlign w:val="baseline"/>
                <w:lang w:val="en-US" w:eastAsia="zh-CN"/>
              </w:rPr>
              <w:t>附表3中地质灾害治理工程勘查设计类业绩认定证明材料中要求的“项目备案表”，因缺少像评估类项目的明确管理体系支撑，对于跨行业的地质灾害治理项目备案存在难度，建议取消。</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采纳</w:t>
            </w:r>
          </w:p>
        </w:tc>
        <w:tc>
          <w:tcPr>
            <w:tcW w:w="901"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业绩材料改为：可提供项目备案表或当地自然资源主管部门出具的情况说明。</w:t>
            </w:r>
          </w:p>
        </w:tc>
        <w:tc>
          <w:tcPr>
            <w:tcW w:w="954"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51"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21</w:t>
            </w:r>
          </w:p>
        </w:tc>
        <w:tc>
          <w:tcPr>
            <w:tcW w:w="588"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浙江省高能爆破工程有限公司</w:t>
            </w:r>
          </w:p>
        </w:tc>
        <w:tc>
          <w:tcPr>
            <w:tcW w:w="335" w:type="pct"/>
            <w:vMerge w:val="continue"/>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p>
        </w:tc>
        <w:tc>
          <w:tcPr>
            <w:tcW w:w="1789"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 xml:space="preserve">征求意见稿中指出对地质灾害治理工程施工和监理所需的业绩应以“纳入浙江省地质灾害信息管理系统地质灾害隐患点（风险防范区）库管理的项目为准并且地质灾害应急排险项目不能认定为业绩”，我单位认为在此范围内的项目虽然数量较多，但治理金额普遍较小，五年内企业项目总经费极难达到五千万元以上的保级标准，后续必然面临企业资质降级和人员失业的风险；另外由于浙江省的信息化程度高，省外资质单位进浙承揽项目较为便利，而省内企业在外省承接项目往往面临各种壁垒。据数据统计在中大型的项目承接中外省企业已占据省内的半壁江山，因此为支持并提高本地企业的竞争力及扶持企业的可持续发展，我单位对项目业绩的认定参考如下： </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 xml:space="preserve">1、经资规部门备案的地质灾害应急排险项目纳入业绩范畴； </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 xml:space="preserve">2、非政府出资，但经资规部门备案的地质灾害治理项目纳入业绩范畴； </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 xml:space="preserve">3、采用地灾防治资质施工且经资规部门备案的废弃矿山治理项目纳入业绩范畴； </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eastAsia="仿宋_GB2312" w:cs="Times New Roman"/>
                <w:b w:val="0"/>
                <w:bCs w:val="0"/>
                <w:sz w:val="24"/>
                <w:szCs w:val="24"/>
                <w:vertAlign w:val="baseline"/>
                <w:lang w:val="en-US" w:eastAsia="zh-CN"/>
              </w:rPr>
              <w:t>4、经项目所在地县级及以上资规部门备案和监管的省外地质灾害治理项目纳入业绩范畴。</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部分采纳</w:t>
            </w:r>
          </w:p>
        </w:tc>
        <w:tc>
          <w:tcPr>
            <w:tcW w:w="901"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采纳部分：已删除地质灾害隐患点库管理相关要求，业绩材料改为：可提供项目备案表或当地自然资源主管部门出具的情况说明。</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未采纳部分：矿山生态修复业绩纳入地质灾害。</w:t>
            </w:r>
          </w:p>
        </w:tc>
        <w:tc>
          <w:tcPr>
            <w:tcW w:w="954"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sz w:val="24"/>
                <w:szCs w:val="24"/>
                <w:vertAlign w:val="baseline"/>
                <w:lang w:val="en-US" w:eastAsia="zh-CN"/>
              </w:rPr>
              <w:t>矿山生态修复治理项目并不等同于地质灾害治理工程项目，依据的技术规程及实施的主要手段存在差异；对于存在地质灾害隐患的矿山生态环境治理项目，纳入地质灾害隐患点管理后，可作为地质灾害治理业绩。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51"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22</w:t>
            </w:r>
          </w:p>
        </w:tc>
        <w:tc>
          <w:tcPr>
            <w:tcW w:w="588"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宁波市城市阳光环境技术有限公司</w:t>
            </w:r>
          </w:p>
        </w:tc>
        <w:tc>
          <w:tcPr>
            <w:tcW w:w="335" w:type="pct"/>
            <w:vMerge w:val="continue"/>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p>
        </w:tc>
        <w:tc>
          <w:tcPr>
            <w:tcW w:w="1789"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建议取消纳入浙江省地质灾害信息管理系统地质灾害隐患点（风险防范区）库管理。理由：近几年浙江省地质灾害项目总量减少，且纳入浙江省地质灾害信息管理系统地质灾害隐患点（风险防范区）库管理的地质灾害 项目更加少，目前全省各县自规局纳入浙江省地质灾害信息管理系统 地质灾害隐患点（风险防范区）库管理的大部分是治理经费为省市财政拨款， 其它部分财政拨款和自筹资金的项目均未纳入库管理。</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2.优化单位业绩证明材料。理由：目前项目备案表个别县自规局不提供备案，或者只对省里财政拨款项目允许备案，故证明材料项目备案表是否可以用中标通知书、 中标网上查询截图等相关证明代替。《管理办法》仅要求独立承担并完成地质灾害治理工程施工项目，只要能证明地质灾害治理工程施工项目的真实性就应该满足《管理办法》要求即可。</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eastAsia="仿宋_GB2312" w:cs="Times New Roman"/>
                <w:b w:val="0"/>
                <w:bCs w:val="0"/>
                <w:sz w:val="24"/>
                <w:szCs w:val="24"/>
                <w:vertAlign w:val="baseline"/>
                <w:lang w:val="en-US" w:eastAsia="zh-CN"/>
              </w:rPr>
              <w:t>3.建议项目类型增加矿山生态修复工程业绩认定。理由：近几年全省地质灾害防治单位主要工作为矿山生态修复，承接地质灾害常规治理工程并不多，且金额也不大，这是浙江省地质 灾害防治单位的近几年的现状。 原自然资源部在审批老管理办法时《地质灾害治理工程勘查设计施工单位资质管理办法》（国土资源部令第30号）单位业绩时矿山生态修复业绩（修复措施符合地质灾害常规措施）也可以认定为地质灾害项目业绩。</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部分采纳</w:t>
            </w:r>
          </w:p>
        </w:tc>
        <w:tc>
          <w:tcPr>
            <w:tcW w:w="901"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采纳部分：已删除地质灾害隐患点库管理相关要求，业绩材料改为：可提供项目备案表或当地自然资源主管部门出具的情况说明。</w:t>
            </w:r>
          </w:p>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未采纳部分：矿山生态修复业绩纳入地质灾害。</w:t>
            </w:r>
          </w:p>
        </w:tc>
        <w:tc>
          <w:tcPr>
            <w:tcW w:w="954" w:type="pct"/>
            <w:vAlign w:val="center"/>
          </w:tcPr>
          <w:p>
            <w:pPr>
              <w:keepNext w:val="0"/>
              <w:keepLines w:val="0"/>
              <w:pageBreakBefore w:val="0"/>
              <w:kinsoku/>
              <w:wordWrap/>
              <w:overflowPunct/>
              <w:autoSpaceDE/>
              <w:autoSpaceDN/>
              <w:bidi w:val="0"/>
              <w:spacing w:line="360" w:lineRule="exact"/>
              <w:ind w:left="0" w:leftChars="0" w:firstLine="0" w:firstLineChars="0"/>
              <w:jc w:val="left"/>
              <w:textAlignment w:val="auto"/>
              <w:rPr>
                <w:rFonts w:hint="default" w:ascii="Times New Roman" w:hAnsi="Times New Roman" w:eastAsia="仿宋_GB2312" w:cs="Times New Roman"/>
                <w:b w:val="0"/>
                <w:bCs w:val="0"/>
                <w:kern w:val="2"/>
                <w:sz w:val="24"/>
                <w:szCs w:val="24"/>
                <w:lang w:val="en-US" w:eastAsia="zh-CN" w:bidi="ar-SA"/>
              </w:rPr>
            </w:pPr>
            <w:bookmarkStart w:id="0" w:name="_GoBack"/>
            <w:r>
              <w:rPr>
                <w:rFonts w:hint="default" w:ascii="Times New Roman" w:hAnsi="Times New Roman" w:eastAsia="仿宋_GB2312" w:cs="Times New Roman"/>
                <w:b w:val="0"/>
                <w:bCs w:val="0"/>
                <w:sz w:val="24"/>
                <w:szCs w:val="24"/>
                <w:vertAlign w:val="baseline"/>
                <w:lang w:val="en-US" w:eastAsia="zh-CN"/>
              </w:rPr>
              <w:t>矿山生态修复治理项目并不等同于地质灾害治理工程项目，依据的技术规程及实施的主要手段存在差异；对于存在地质灾害隐患的矿山生态环境治理项目，纳入地质灾害隐患点管理后，可作为地质灾害治理业绩。</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51" w:type="pct"/>
            <w:vAlign w:val="center"/>
          </w:tcPr>
          <w:p>
            <w:pPr>
              <w:keepNext w:val="0"/>
              <w:keepLines w:val="0"/>
              <w:pageBreakBefore w:val="0"/>
              <w:kinsoku/>
              <w:wordWrap/>
              <w:overflowPunct/>
              <w:autoSpaceDE/>
              <w:autoSpaceDN/>
              <w:bidi w:val="0"/>
              <w:spacing w:line="360" w:lineRule="exact"/>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23</w:t>
            </w:r>
          </w:p>
        </w:tc>
        <w:tc>
          <w:tcPr>
            <w:tcW w:w="588" w:type="pct"/>
            <w:vAlign w:val="center"/>
          </w:tcPr>
          <w:p>
            <w:pPr>
              <w:keepNext w:val="0"/>
              <w:keepLines w:val="0"/>
              <w:pageBreakBefore w:val="0"/>
              <w:kinsoku/>
              <w:wordWrap/>
              <w:overflowPunct/>
              <w:autoSpaceDE/>
              <w:autoSpaceDN/>
              <w:bidi w:val="0"/>
              <w:spacing w:line="360" w:lineRule="exact"/>
              <w:ind w:left="0" w:leftChars="0" w:firstLine="0" w:firstLineChars="0"/>
              <w:jc w:val="left"/>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中国建筑材料工业地质勘查中心浙江总队</w:t>
            </w:r>
          </w:p>
        </w:tc>
        <w:tc>
          <w:tcPr>
            <w:tcW w:w="335" w:type="pct"/>
            <w:vAlign w:val="center"/>
          </w:tcPr>
          <w:p>
            <w:pPr>
              <w:keepNext w:val="0"/>
              <w:keepLines w:val="0"/>
              <w:pageBreakBefore w:val="0"/>
              <w:kinsoku/>
              <w:wordWrap/>
              <w:overflowPunct/>
              <w:autoSpaceDE/>
              <w:autoSpaceDN/>
              <w:bidi w:val="0"/>
              <w:spacing w:line="360" w:lineRule="exact"/>
              <w:ind w:left="0" w:leftChars="0" w:firstLine="0" w:firstLineChars="0"/>
              <w:jc w:val="both"/>
              <w:rPr>
                <w:rFonts w:hint="default" w:ascii="Times New Roman" w:hAnsi="Times New Roman" w:eastAsia="仿宋_GB2312" w:cs="Times New Roman"/>
                <w:b w:val="0"/>
                <w:bCs w:val="0"/>
                <w:sz w:val="24"/>
                <w:szCs w:val="24"/>
                <w:highlight w:val="none"/>
                <w:vertAlign w:val="baseline"/>
                <w:lang w:eastAsia="zh-CN"/>
              </w:rPr>
            </w:pPr>
            <w:r>
              <w:rPr>
                <w:rFonts w:hint="default" w:ascii="Times New Roman" w:hAnsi="Times New Roman" w:eastAsia="宋体" w:cs="Times New Roman"/>
                <w:sz w:val="24"/>
                <w:szCs w:val="24"/>
                <w:vertAlign w:val="baseline"/>
                <w:lang w:eastAsia="zh-CN"/>
              </w:rPr>
              <w:t>三</w:t>
            </w:r>
            <w:r>
              <w:rPr>
                <w:rFonts w:hint="default" w:ascii="Times New Roman" w:hAnsi="Times New Roman" w:eastAsia="宋体" w:cs="Times New Roman"/>
                <w:sz w:val="24"/>
                <w:szCs w:val="24"/>
                <w:lang w:val="en-US" w:eastAsia="zh-CN"/>
              </w:rPr>
              <w:t>3.【业绩要求】</w:t>
            </w:r>
          </w:p>
        </w:tc>
        <w:tc>
          <w:tcPr>
            <w:tcW w:w="1789" w:type="pct"/>
            <w:vAlign w:val="center"/>
          </w:tcPr>
          <w:p>
            <w:pPr>
              <w:keepNext w:val="0"/>
              <w:keepLines w:val="0"/>
              <w:pageBreakBefore w:val="0"/>
              <w:kinsoku/>
              <w:wordWrap/>
              <w:overflowPunct/>
              <w:autoSpaceDE/>
              <w:autoSpaceDN/>
              <w:bidi w:val="0"/>
              <w:spacing w:line="360" w:lineRule="exact"/>
              <w:ind w:left="0" w:leftChars="0" w:firstLine="480" w:firstLineChars="200"/>
              <w:jc w:val="both"/>
              <w:textAlignment w:val="auto"/>
              <w:rPr>
                <w:rFonts w:hint="default" w:ascii="Times New Roman" w:hAnsi="Times New Roman" w:eastAsia="仿宋_GB2312" w:cs="Times New Roman"/>
                <w:b w:val="0"/>
                <w:bCs w:val="0"/>
                <w:kern w:val="2"/>
                <w:sz w:val="24"/>
                <w:szCs w:val="24"/>
                <w:highlight w:val="none"/>
                <w:lang w:val="en-US" w:eastAsia="zh-CN" w:bidi="ar-SA"/>
              </w:rPr>
            </w:pPr>
            <w:r>
              <w:rPr>
                <w:rFonts w:hint="default" w:ascii="Times New Roman" w:hAnsi="Times New Roman" w:eastAsia="仿宋_GB2312" w:cs="Times New Roman"/>
                <w:b w:val="0"/>
                <w:bCs w:val="0"/>
                <w:sz w:val="24"/>
                <w:szCs w:val="24"/>
                <w:vertAlign w:val="baseline"/>
                <w:lang w:val="en-US" w:eastAsia="zh-CN"/>
              </w:rPr>
              <w:t>若甲级资质单位只因5 年内业绩不够，延续时只能申请乙级资质，在不足两年时间业绩已满足的条件时，能否提前直接申请恢复甲级。</w:t>
            </w:r>
          </w:p>
        </w:tc>
        <w:tc>
          <w:tcPr>
            <w:tcW w:w="278" w:type="pct"/>
            <w:vAlign w:val="center"/>
          </w:tcPr>
          <w:p>
            <w:pPr>
              <w:keepNext w:val="0"/>
              <w:keepLines w:val="0"/>
              <w:pageBreakBefore w:val="0"/>
              <w:kinsoku/>
              <w:wordWrap/>
              <w:overflowPunct/>
              <w:autoSpaceDE/>
              <w:autoSpaceDN/>
              <w:bidi w:val="0"/>
              <w:spacing w:line="360" w:lineRule="exact"/>
              <w:ind w:left="0" w:leftChars="0" w:firstLine="0" w:firstLineChars="0"/>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采纳</w:t>
            </w:r>
          </w:p>
        </w:tc>
        <w:tc>
          <w:tcPr>
            <w:tcW w:w="901" w:type="pct"/>
            <w:vAlign w:val="center"/>
          </w:tcPr>
          <w:p>
            <w:pPr>
              <w:keepNext w:val="0"/>
              <w:keepLines w:val="0"/>
              <w:pageBreakBefore w:val="0"/>
              <w:kinsoku/>
              <w:wordWrap/>
              <w:overflowPunct/>
              <w:autoSpaceDE/>
              <w:autoSpaceDN/>
              <w:bidi w:val="0"/>
              <w:spacing w:line="360" w:lineRule="exact"/>
              <w:ind w:left="0" w:leftChars="0" w:firstLine="480" w:firstLineChars="200"/>
              <w:jc w:val="left"/>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新增1条款三3.【业绩要求】：业绩应满足办法规定业绩个数及项目总经费要求。对甲级资质延续申请的单位，5年内业绩达不到要求的，可先申请乙级资质，业绩满足后可申请甲级资质。</w:t>
            </w:r>
          </w:p>
        </w:tc>
        <w:tc>
          <w:tcPr>
            <w:tcW w:w="954" w:type="pct"/>
            <w:vAlign w:val="center"/>
          </w:tcPr>
          <w:p>
            <w:pPr>
              <w:keepNext w:val="0"/>
              <w:keepLines w:val="0"/>
              <w:pageBreakBefore w:val="0"/>
              <w:kinsoku/>
              <w:wordWrap/>
              <w:overflowPunct/>
              <w:autoSpaceDE/>
              <w:autoSpaceDN/>
              <w:bidi w:val="0"/>
              <w:spacing w:line="360" w:lineRule="exact"/>
              <w:ind w:left="0" w:leftChars="0" w:firstLine="0" w:firstLineChars="0"/>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w:t>
            </w:r>
          </w:p>
        </w:tc>
      </w:tr>
    </w:tbl>
    <w:p>
      <w:pPr>
        <w:pStyle w:val="2"/>
        <w:keepNext w:val="0"/>
        <w:keepLines w:val="0"/>
        <w:pageBreakBefore w:val="0"/>
        <w:kinsoku/>
        <w:wordWrap/>
        <w:overflowPunct/>
        <w:autoSpaceDE/>
        <w:autoSpaceDN/>
        <w:bidi w:val="0"/>
        <w:spacing w:line="360" w:lineRule="exact"/>
      </w:pPr>
    </w:p>
    <w:sectPr>
      <w:pgSz w:w="23811" w:h="16838" w:orient="landscape"/>
      <w:pgMar w:top="1400" w:right="1287" w:bottom="720" w:left="13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2010600030101010101"/>
    <w:charset w:val="8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准圆繁体">
    <w:panose1 w:val="02010601030101010101"/>
    <w:charset w:val="86"/>
    <w:family w:val="auto"/>
    <w:pitch w:val="default"/>
    <w:sig w:usb0="00000001" w:usb1="080E0000" w:usb2="00000000" w:usb3="00000000" w:csb0="00040000" w:csb1="00000000"/>
  </w:font>
  <w:font w:name="汉仪大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NzMzNzg5YWNlNmU0MmJkMGQ3ZDM5YWI2YTY0ZDgifQ=="/>
  </w:docVars>
  <w:rsids>
    <w:rsidRoot w:val="40997DAC"/>
    <w:rsid w:val="03F62552"/>
    <w:rsid w:val="05C8628C"/>
    <w:rsid w:val="09CA261C"/>
    <w:rsid w:val="0E9A0770"/>
    <w:rsid w:val="11276942"/>
    <w:rsid w:val="1539122A"/>
    <w:rsid w:val="18C97A25"/>
    <w:rsid w:val="1EA9046B"/>
    <w:rsid w:val="235B31B5"/>
    <w:rsid w:val="2412793D"/>
    <w:rsid w:val="24886097"/>
    <w:rsid w:val="24A048CE"/>
    <w:rsid w:val="27E25A85"/>
    <w:rsid w:val="2DF3683F"/>
    <w:rsid w:val="2E235E21"/>
    <w:rsid w:val="2E6E6CA1"/>
    <w:rsid w:val="2F025A6F"/>
    <w:rsid w:val="315649C4"/>
    <w:rsid w:val="334B460B"/>
    <w:rsid w:val="367A016E"/>
    <w:rsid w:val="3F6409D2"/>
    <w:rsid w:val="3FFE2572"/>
    <w:rsid w:val="40644F98"/>
    <w:rsid w:val="40997DAC"/>
    <w:rsid w:val="43F16EE9"/>
    <w:rsid w:val="45EB2497"/>
    <w:rsid w:val="46E760B9"/>
    <w:rsid w:val="4789561B"/>
    <w:rsid w:val="4DE950E2"/>
    <w:rsid w:val="4E5B2B6B"/>
    <w:rsid w:val="4EB67637"/>
    <w:rsid w:val="4FEE1FCB"/>
    <w:rsid w:val="518958FD"/>
    <w:rsid w:val="57F4005C"/>
    <w:rsid w:val="58881BAD"/>
    <w:rsid w:val="58F9485B"/>
    <w:rsid w:val="59FE9D77"/>
    <w:rsid w:val="5A284D40"/>
    <w:rsid w:val="5FDFF007"/>
    <w:rsid w:val="5FE5356E"/>
    <w:rsid w:val="61D45C00"/>
    <w:rsid w:val="6377D06D"/>
    <w:rsid w:val="67D324C9"/>
    <w:rsid w:val="698E432E"/>
    <w:rsid w:val="73816183"/>
    <w:rsid w:val="7BFA4958"/>
    <w:rsid w:val="7C6B22A0"/>
    <w:rsid w:val="DF9F8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keepNext/>
      <w:keepLines/>
      <w:spacing w:beforeLines="0" w:beforeAutospacing="0" w:afterLines="0" w:afterAutospacing="0" w:line="360" w:lineRule="auto"/>
      <w:ind w:firstLine="0" w:firstLineChars="0"/>
      <w:outlineLvl w:val="1"/>
    </w:pPr>
    <w:rPr>
      <w:rFonts w:ascii="Times New Roman" w:hAnsi="Times New Roman" w:eastAsia="黑体"/>
      <w:b/>
      <w:sz w:val="32"/>
    </w:rPr>
  </w:style>
  <w:style w:type="paragraph" w:styleId="4">
    <w:name w:val="heading 4"/>
    <w:basedOn w:val="1"/>
    <w:next w:val="1"/>
    <w:semiHidden/>
    <w:unhideWhenUsed/>
    <w:qFormat/>
    <w:uiPriority w:val="0"/>
    <w:pPr>
      <w:keepNext/>
      <w:keepLines/>
      <w:spacing w:beforeLines="0" w:beforeAutospacing="0" w:afterLines="0" w:afterAutospacing="0" w:line="560" w:lineRule="exact"/>
      <w:outlineLvl w:val="3"/>
    </w:pPr>
    <w:rPr>
      <w:rFonts w:ascii="Arial" w:hAnsi="Arial" w:eastAsia="宋体"/>
      <w:b/>
      <w:sz w:val="28"/>
    </w:rPr>
  </w:style>
  <w:style w:type="paragraph" w:styleId="5">
    <w:name w:val="heading 5"/>
    <w:basedOn w:val="1"/>
    <w:next w:val="1"/>
    <w:semiHidden/>
    <w:unhideWhenUsed/>
    <w:qFormat/>
    <w:uiPriority w:val="0"/>
    <w:pPr>
      <w:keepNext/>
      <w:keepLines/>
      <w:spacing w:beforeLines="0" w:beforeAutospacing="0" w:afterLines="0" w:afterAutospacing="0" w:line="560" w:lineRule="exact"/>
      <w:outlineLvl w:val="4"/>
    </w:pPr>
    <w:rPr>
      <w:rFonts w:eastAsia="仿宋_GB2312" w:asciiTheme="minorAscii" w:hAnsiTheme="minorAscii"/>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560" w:lineRule="exact"/>
      <w:ind w:firstLine="880"/>
    </w:pPr>
    <w:rPr>
      <w:rFonts w:cstheme="minorBidi"/>
      <w:sz w:val="30"/>
      <w:szCs w:val="30"/>
    </w:rPr>
  </w:style>
  <w:style w:type="paragraph" w:styleId="6">
    <w:name w:val="annotation text"/>
    <w:basedOn w:val="1"/>
    <w:qFormat/>
    <w:uiPriority w:val="0"/>
    <w:pPr>
      <w:jc w:val="left"/>
    </w:pPr>
  </w:style>
  <w:style w:type="paragraph" w:styleId="7">
    <w:name w:val="Body Text 3"/>
    <w:basedOn w:val="1"/>
    <w:qFormat/>
    <w:uiPriority w:val="0"/>
    <w:pPr>
      <w:spacing w:after="120"/>
    </w:pPr>
    <w:rPr>
      <w:sz w:val="16"/>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paragraph" w:customStyle="1" w:styleId="13">
    <w:name w:val="正文（厅）"/>
    <w:basedOn w:val="7"/>
    <w:link w:val="14"/>
    <w:qFormat/>
    <w:uiPriority w:val="0"/>
    <w:pPr>
      <w:widowControl/>
      <w:spacing w:after="0" w:line="600" w:lineRule="exact"/>
      <w:ind w:firstLine="720"/>
    </w:pPr>
    <w:rPr>
      <w:rFonts w:hint="eastAsia" w:eastAsia="仿宋_GB2312" w:cstheme="minorBidi"/>
      <w:sz w:val="32"/>
      <w:szCs w:val="24"/>
    </w:rPr>
  </w:style>
  <w:style w:type="character" w:customStyle="1" w:styleId="14">
    <w:name w:val="正文（厅） Char"/>
    <w:link w:val="13"/>
    <w:qFormat/>
    <w:uiPriority w:val="0"/>
    <w:rPr>
      <w:rFonts w:hint="eastAsia" w:eastAsia="仿宋_GB2312" w:cstheme="minorBidi"/>
      <w:sz w:val="32"/>
      <w:szCs w:val="24"/>
    </w:rPr>
  </w:style>
  <w:style w:type="paragraph" w:customStyle="1" w:styleId="15">
    <w:name w:val="正文  （报告）"/>
    <w:basedOn w:val="1"/>
    <w:qFormat/>
    <w:uiPriority w:val="99"/>
    <w:pPr>
      <w:spacing w:line="560" w:lineRule="exact"/>
      <w:ind w:left="0" w:leftChars="0" w:right="0" w:rightChars="0" w:firstLine="200" w:firstLineChars="200"/>
      <w:jc w:val="left"/>
    </w:pPr>
    <w:rPr>
      <w:rFonts w:ascii="Times New Roman" w:hAnsi="Times New Roman" w:eastAsia="宋体" w:cs="Times New Roman"/>
      <w:bCs/>
      <w:spacing w:val="-6"/>
      <w:sz w:val="28"/>
      <w:szCs w:val="21"/>
      <w14:ligatures w14:val="none"/>
    </w:rPr>
  </w:style>
  <w:style w:type="paragraph" w:customStyle="1" w:styleId="16">
    <w:name w:val="题目（厅）"/>
    <w:basedOn w:val="1"/>
    <w:qFormat/>
    <w:uiPriority w:val="0"/>
    <w:pPr>
      <w:widowControl/>
      <w:tabs>
        <w:tab w:val="left" w:pos="0"/>
      </w:tabs>
      <w:spacing w:before="100" w:beforeLines="100" w:after="100" w:afterLines="100" w:line="640" w:lineRule="exact"/>
      <w:ind w:firstLine="0" w:firstLineChars="0"/>
      <w:jc w:val="center"/>
    </w:pPr>
    <w:rPr>
      <w:rFonts w:hint="eastAsia" w:eastAsia="宋体"/>
      <w:b/>
      <w:sz w:val="42"/>
      <w:szCs w:val="30"/>
    </w:rPr>
  </w:style>
  <w:style w:type="paragraph" w:customStyle="1" w:styleId="17">
    <w:name w:val="TOC 11"/>
    <w:next w:val="1"/>
    <w:qFormat/>
    <w:uiPriority w:val="0"/>
    <w:pPr>
      <w:wordWrap w:val="0"/>
      <w:jc w:val="both"/>
    </w:pPr>
    <w:rPr>
      <w:rFonts w:ascii="Calibri"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9</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2024-04-23T22:38:00Z</dcterms:created>
  <dc:creator>Administrator</dc:creator>
  <cp:lastModifiedBy>毛青</cp:lastModifiedBy>
  <cp:lastPrinted>2024-04-26T03:08:00Z</cp:lastPrinted>
  <dcterms:modified xsi:type="dcterms:W3CDTF">2024-04-25T15:25:03Z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3F8E960E6E764987A4BD8955214EC478_13</vt:lpwstr>
  </property>
</Properties>
</file>