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u w:val="single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市普通建筑用石料采矿权出让计划表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465"/>
        <w:gridCol w:w="3261"/>
        <w:gridCol w:w="1030"/>
        <w:gridCol w:w="1624"/>
        <w:gridCol w:w="1666"/>
        <w:gridCol w:w="1028"/>
        <w:gridCol w:w="855"/>
        <w:gridCol w:w="1290"/>
        <w:gridCol w:w="907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拟设采矿权名称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开采矿种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估算资源储量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（万吨）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暂定生产规模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（万吨/年）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矿区面积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（km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计划出让月份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是否符合准入管控要求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4"/>
                <w:szCs w:val="24"/>
                <w:lang w:eastAsia="zh-CN"/>
              </w:rPr>
              <w:t>采矿权项目类型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6" w:beforeLines="5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联系人：吴鸣，电话及传真：0571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88877289；88877178（传真），电子邮箱：lum1228@dingtalk.com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D16B9"/>
    <w:rsid w:val="309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2021-07-09T09:19:00Z</dcterms:created>
  <dc:creator>。。。</dc:creator>
  <cp:lastModifiedBy>。。。</cp:lastModifiedBy>
  <dcterms:modified xsi:type="dcterms:W3CDTF">2021-07-09T09:19:54Z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9104D3A20BA644318307943FA0768854</vt:lpwstr>
  </property>
</Properties>
</file>