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61" w:rsidRDefault="00D26861" w:rsidP="002953B2">
      <w:pPr>
        <w:pStyle w:val="1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附件</w:t>
      </w:r>
      <w:r>
        <w:rPr>
          <w:rFonts w:ascii="Times New Roman" w:hAnsi="Times New Roman" w:cs="Times New Roman"/>
          <w:bCs/>
          <w:sz w:val="32"/>
          <w:szCs w:val="32"/>
        </w:rPr>
        <w:t>2</w:t>
      </w:r>
    </w:p>
    <w:p w:rsidR="00D26861" w:rsidRDefault="00D26861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</w:p>
    <w:p w:rsidR="00D26861" w:rsidRDefault="00D26861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sz w:val="40"/>
          <w:szCs w:val="40"/>
        </w:rPr>
        <w:t>第一轮中央环境保护督察反馈意见（问题编号</w:t>
      </w:r>
    </w:p>
    <w:p w:rsidR="00D26861" w:rsidRDefault="00D26861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sz w:val="40"/>
          <w:szCs w:val="40"/>
        </w:rPr>
        <w:t>二十一）整改工作完成情况</w:t>
      </w:r>
    </w:p>
    <w:p w:rsidR="00D26861" w:rsidRDefault="00D26861">
      <w:pPr>
        <w:spacing w:line="560" w:lineRule="exact"/>
        <w:ind w:firstLineChars="200" w:firstLine="602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26861" w:rsidRDefault="00D26861">
      <w:pPr>
        <w:spacing w:line="580" w:lineRule="exact"/>
        <w:ind w:firstLineChars="200" w:firstLine="640"/>
        <w:contextualSpacing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问题反馈：</w:t>
      </w:r>
    </w:p>
    <w:p w:rsidR="00D26861" w:rsidRDefault="00D268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浙江省各级海洋部门未按《中华人民共和国海域使用管理法》要求及时制止违法围填海行为，也未要求恢复海域原状，仅对少数违法行为进行行政罚款。</w:t>
      </w:r>
    </w:p>
    <w:p w:rsidR="00D26861" w:rsidRDefault="00D26861">
      <w:pPr>
        <w:spacing w:line="580" w:lineRule="exact"/>
        <w:ind w:firstLineChars="200" w:firstLine="640"/>
        <w:contextualSpacing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整改目标：</w:t>
      </w:r>
    </w:p>
    <w:p w:rsidR="00D26861" w:rsidRDefault="00D268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进一步严格执行《中华人民共和国海域使用管理法》和国家海洋局具体实施意见，规范执法，及时制止、依法查处违法围填海行为。组织全面排查，落实属地责任，督促分类处理。</w:t>
      </w:r>
    </w:p>
    <w:p w:rsidR="00D26861" w:rsidRDefault="00D26861">
      <w:pPr>
        <w:spacing w:line="580" w:lineRule="exact"/>
        <w:ind w:firstLineChars="200" w:firstLine="640"/>
        <w:contextualSpacing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完成情况：</w:t>
      </w:r>
    </w:p>
    <w:p w:rsidR="00D26861" w:rsidRDefault="00D26861">
      <w:pPr>
        <w:spacing w:line="580" w:lineRule="exact"/>
        <w:ind w:firstLineChars="200" w:firstLine="643"/>
        <w:contextualSpacing/>
        <w:rPr>
          <w:rFonts w:ascii="Times New Roman" w:eastAsia="仿宋_GB2312" w:hAnsi="Times New Roman" w:cs="Times New Roman"/>
          <w:color w:val="0000FF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开展全面排查。</w:t>
      </w:r>
      <w:r>
        <w:rPr>
          <w:rFonts w:ascii="Times New Roman" w:eastAsia="仿宋_GB2312" w:hAnsi="Times New Roman" w:cs="Times New Roman"/>
          <w:sz w:val="32"/>
          <w:szCs w:val="32"/>
        </w:rPr>
        <w:t>结合全省历史围填海现状调查，开展全省违法围填海项目排查，组织沿海各市开展海岸线定期巡查和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海盾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专项执法行动。</w:t>
      </w:r>
    </w:p>
    <w:p w:rsidR="00D26861" w:rsidRDefault="00D26861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2. </w:t>
      </w:r>
      <w:proofErr w:type="gramStart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严格围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填海管控。</w:t>
      </w:r>
      <w:r>
        <w:rPr>
          <w:rFonts w:ascii="Times New Roman" w:eastAsia="仿宋_GB2312" w:hAnsi="Times New Roman" w:cs="Times New Roman"/>
          <w:sz w:val="32"/>
          <w:szCs w:val="32"/>
        </w:rPr>
        <w:t>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“国发</w:t>
      </w:r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号”通</w:t>
      </w:r>
      <w:r>
        <w:rPr>
          <w:rFonts w:ascii="Times New Roman" w:eastAsia="仿宋_GB2312" w:hAnsi="Times New Roman" w:cs="Times New Roman"/>
          <w:sz w:val="32"/>
          <w:szCs w:val="32"/>
        </w:rPr>
        <w:t>知精神，进一步做好滨海湿地保护、围填海管控工作，经省政府同意，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日印发实施《浙江省加强滨海湿地保护严格管控围填海实施方案》。</w:t>
      </w:r>
    </w:p>
    <w:p w:rsidR="00D26861" w:rsidRDefault="00D26861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 xml:space="preserve">3.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完成违法整改。一是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宗重点围垦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区违法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围填海的案件已全部整改完成。宁波市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宗、温州市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宗重点围垦项目已全面停工，违法围填海案件已处罚完毕，温州市、宁波市已分别在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年底和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年初报备销号。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 w:cs="Times New Roman"/>
          <w:sz w:val="32"/>
          <w:szCs w:val="32"/>
        </w:rPr>
        <w:t>55</w:t>
      </w:r>
      <w:r>
        <w:rPr>
          <w:rFonts w:ascii="Times New Roman" w:eastAsia="仿宋_GB2312" w:hAnsi="Times New Roman" w:cs="Times New Roman"/>
          <w:sz w:val="32"/>
          <w:szCs w:val="32"/>
        </w:rPr>
        <w:t>宗已处罚但未落实恢复原状要求的案件已全部整改完成。涉及舟山市的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宗已在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年底报备销号，涉及宁波市的</w:t>
      </w:r>
      <w:r>
        <w:rPr>
          <w:rFonts w:ascii="Times New Roman" w:eastAsia="仿宋_GB2312" w:hAnsi="Times New Roman" w:cs="Times New Roman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z w:val="32"/>
          <w:szCs w:val="32"/>
        </w:rPr>
        <w:t>宗案件整改完成情况已在当地报纸、电视台、政府门户网站进行公示，公示期间未收到异议。</w:t>
      </w:r>
    </w:p>
    <w:p w:rsidR="00DA6982" w:rsidRDefault="00DA6982">
      <w:pPr>
        <w:rPr>
          <w:rFonts w:hint="eastAsia"/>
        </w:rPr>
      </w:pPr>
      <w:bookmarkStart w:id="0" w:name="_GoBack"/>
      <w:bookmarkEnd w:id="0"/>
    </w:p>
    <w:sectPr w:rsidR="00DA6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61"/>
    <w:rsid w:val="009A1301"/>
    <w:rsid w:val="00D26861"/>
    <w:rsid w:val="00D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24673-C1E7-4B4B-B31F-52EB474D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26861"/>
    <w:pPr>
      <w:keepNext/>
      <w:keepLines/>
      <w:spacing w:before="340" w:after="330" w:line="576" w:lineRule="auto"/>
      <w:outlineLvl w:val="0"/>
    </w:pPr>
    <w:rPr>
      <w:rFonts w:ascii="Calibri" w:eastAsia="黑体" w:hAnsi="Calibri" w:cs="Calibri"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61"/>
    <w:rPr>
      <w:rFonts w:ascii="Calibri" w:eastAsia="黑体" w:hAnsi="Calibri" w:cs="Calibri"/>
      <w:kern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金虹</dc:creator>
  <cp:keywords/>
  <dc:description/>
  <cp:lastModifiedBy>金虹</cp:lastModifiedBy>
  <cp:revision>2</cp:revision>
  <dcterms:created xsi:type="dcterms:W3CDTF">2021-01-15T04:00:00Z</dcterms:created>
  <dcterms:modified xsi:type="dcterms:W3CDTF">2021-01-15T04:01:00Z</dcterms:modified>
</cp:coreProperties>
</file>