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仿宋_GB2312" w:eastAsia="仿宋_GB2312"/>
          <w:sz w:val="30"/>
          <w:szCs w:val="30"/>
        </w:rPr>
        <w:t>附件3</w:t>
      </w:r>
    </w:p>
    <w:p/>
    <w:p>
      <w:pPr>
        <w:jc w:val="center"/>
        <w:rPr>
          <w:rFonts w:ascii="华康简标题宋" w:hAnsi="Times New Roman" w:eastAsia="华康简标题宋" w:cs="Times New Roman"/>
          <w:color w:val="000000"/>
          <w:sz w:val="36"/>
          <w:szCs w:val="36"/>
        </w:rPr>
      </w:pPr>
      <w:r>
        <w:rPr>
          <w:rFonts w:hint="eastAsia" w:ascii="华康简标题宋" w:hAnsi="Times New Roman" w:eastAsia="华康简标题宋" w:cs="Times New Roman"/>
          <w:color w:val="000000"/>
          <w:sz w:val="36"/>
          <w:szCs w:val="36"/>
        </w:rPr>
        <w:t>废止的行政规范性文件目录</w:t>
      </w:r>
    </w:p>
    <w:p>
      <w:pPr>
        <w:rPr>
          <w:rFonts w:ascii="Times New Roman" w:hAnsi="Times New Roman" w:eastAsia="仿宋_GB2312" w:cs="Times New Roman"/>
          <w:color w:val="000000"/>
          <w:szCs w:val="21"/>
        </w:rPr>
      </w:pPr>
    </w:p>
    <w:tbl>
      <w:tblPr>
        <w:tblStyle w:val="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5518"/>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55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文件名称</w:t>
            </w:r>
          </w:p>
        </w:tc>
        <w:tc>
          <w:tcPr>
            <w:tcW w:w="265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发</w:t>
            </w:r>
            <w:r>
              <w:rPr>
                <w:rFonts w:ascii="Times New Roman" w:hAnsi="Times New Roman" w:eastAsia="仿宋_GB2312" w:cs="Times New Roman"/>
                <w:sz w:val="24"/>
                <w:szCs w:val="24"/>
              </w:rPr>
              <w:t>文</w:t>
            </w:r>
            <w:r>
              <w:rPr>
                <w:rFonts w:hint="eastAsia" w:ascii="Times New Roman" w:hAnsi="Times New Roman" w:eastAsia="仿宋_GB2312" w:cs="Times New Roman"/>
                <w:sz w:val="24"/>
                <w:szCs w:val="24"/>
              </w:rPr>
              <w:t>字</w:t>
            </w:r>
            <w:r>
              <w:rPr>
                <w:rFonts w:ascii="Times New Roman" w:hAnsi="Times New Roman" w:eastAsia="仿宋_GB2312"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浙江省土地管理局关于加强征地管理工作的通知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浙土发〔2000〕87号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浙江省国土资源厅关于对“土地征用中需安置的农业人口计算口径问题”的答复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浙土资厅〔2000〕67号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浙江省土地管理局关于人为毁坏后的耕地其土地性质如何认定的请示的答复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浙土复〔1997〕29号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浙江省国土资源厅关于加强土地开发整理中土地权属管理工作的通知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浙土资发〔2000〕391号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浙江省国土资源厅关于土地征用中有关问题的答复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浙土资厅〔2000〕83号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浙江省国土资源厅《关于农村居民在原批准面积内再次占地扩建住宅是否属违法占地的答复》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浙土资厅〔2001〕95号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浙江省国土资源厅《关于土地所有权发生变更是否需实行补偿问题的答复意见》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浙土资函〔2001〕33号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浙江省国土资源厅关于《如何理解应用〈浙江省城镇国有土地使用权出让和转让办法〉第二十八条的请示》的答复意见</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浙土资函〔2001〕158号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浙江省国土资源厅关于印发《浙江省探矿权审批工作制度》的通知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浙江省国土资源厅、省工商局关于落实石煤矿禁采有关审批、注册登记问题的通知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浙土资发〔2002〕133号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关于报国务院审批建设用地项目压覆矿产资源审核工作的通知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浙土资发〔2002〕142号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浙江省国土资源厅《转发国土资源部关于报国务院批准的土地开发用地审查报批工作有关问题的通知》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浙江省国土资源厅关于贯彻落实省政府加强和改进土地征用工作通知的若干意见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浙江省国土资源厅关于做好矿产资源储量登记工作有关问题的通知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浙土资发〔2004〕48号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浙江省国土资源厅转发国土资源部关于进一步加强大中型矿山企业、重点地区和主要矿种矿产资源补偿费征管工作的通知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浙土资发〔2004〕51号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浙江省国土资源厅关于进一步加强乡（镇）地质灾害分布与易发区图编制与评审工作的通知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浙土资发〔2004〕57号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浙江省国土资源厅关于农村村民购买同村村民住房进行拆建是否可以认定“原拆原建”问题的批复</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浙土资函〔2004〕109号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浙江省国土资源厅关于国有出让土地使用权抵押问题的复函</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浙土资函〔2004〕145号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浙江省国土资源厅关于国有土地使用权出让合同中违反土地用途最高出让年限问题的复函</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w w:val="90"/>
                <w:sz w:val="24"/>
                <w:szCs w:val="24"/>
              </w:rPr>
              <w:t>浙土资函〔2004〕148号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浙江省国土资源厅关于印发《浙江省1</w:t>
            </w:r>
            <w:r>
              <w:rPr>
                <w:rFonts w:hint="eastAsia" w:ascii="宋体" w:hAnsi="宋体" w:eastAsia="宋体" w:cs="宋体"/>
                <w:sz w:val="24"/>
                <w:szCs w:val="24"/>
              </w:rPr>
              <w:t>∶</w:t>
            </w:r>
            <w:r>
              <w:rPr>
                <w:rFonts w:ascii="Times New Roman" w:hAnsi="Times New Roman" w:eastAsia="仿宋_GB2312" w:cs="Times New Roman"/>
                <w:sz w:val="24"/>
                <w:szCs w:val="24"/>
              </w:rPr>
              <w:t>1000、1</w:t>
            </w:r>
            <w:r>
              <w:rPr>
                <w:rFonts w:hint="eastAsia" w:ascii="宋体" w:hAnsi="宋体" w:eastAsia="宋体" w:cs="宋体"/>
                <w:sz w:val="24"/>
                <w:szCs w:val="24"/>
              </w:rPr>
              <w:t>∶</w:t>
            </w:r>
            <w:r>
              <w:rPr>
                <w:rFonts w:ascii="Times New Roman" w:hAnsi="Times New Roman" w:eastAsia="仿宋_GB2312" w:cs="Times New Roman"/>
                <w:sz w:val="24"/>
                <w:szCs w:val="24"/>
              </w:rPr>
              <w:t>2000土地利用现状调查技术规范(试行)》的通知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关于印发《浙江省地质资料保护暂行规定》的通知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关于加强地质环境监测工作的意见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浙土资发〔2005〕82号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关于进一步加强农村宅基地管理的意见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关于印发《浙江省地质资料接收验收办法》、《浙江省馆藏地质资料电子文档提供利用办法》、《浙江省地质资料电子文档制作规定》的通知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浙土资发〔2005〕98号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关于工厂用地可否转让给房地产开发企业和自然人的答复</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浙土资函〔2005〕130号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关于工业用地能否转让给合伙企业和个体工商户的批复</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浙土资函〔2005〕159号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转发国土资源部、国家保密局《加强地质资料社会化服务的若干规定》的通知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w w:val="90"/>
                <w:sz w:val="24"/>
                <w:szCs w:val="24"/>
              </w:rPr>
              <w:t>关于印发《浙江省萤石采选准入条件（试行）》的通知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关于进一步规范建设用地项目压覆矿产资源审核工作的通知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关于加强地下开采矿山矿产资源开发利用方案实施情况监督管理的通知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浙土资发〔2006〕26号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关于进一步加强和规范工程建设项目招标投标管理的意见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关于进一步强化矿产资源储量登记工作巩固储量登记成果的通知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浙土资办〔2006〕80号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关于进一步减少审核工作环节加快建设用地项目压覆矿产资源审核工作的通知</w:t>
            </w:r>
          </w:p>
        </w:tc>
        <w:tc>
          <w:tcPr>
            <w:tcW w:w="265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w w:val="90"/>
                <w:sz w:val="24"/>
                <w:szCs w:val="24"/>
              </w:rPr>
              <w:t>浙土资办〔2006〕123号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浙江省国土资源厅关于在矿山废渣中手选萤石碎屑规范管理问题的批复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浙土资函〔2006〕3号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关于农村村民出卖宅基地后能否通过购买本村集体土地上房屋取得宅基地使用权问题的批复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浙土资函〔2006〕43号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关于改变土地用途及土地利用条件涉及补交土地出让金问题的批复</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浙土资函〔2006〕76号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浙江省国土资源厅关于宗教用地土地供应方式问题的答复意见</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浙土资厅函〔2006〕832号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浙江省国土资源厅关于进一步加强矿业权评估监督管理的通知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关于进一步加强土地开发垦造耕地项目管理的通知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关于进一步加强矿产资源储量备案管理的通知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浙土资发〔2007〕43号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关于加强土地调查登记代理机构监督管理的通知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浙土资发〔2007〕44号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关于擅自出租集体建设用地如何适用法律法规问题的答复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浙土资厅函〔2007〕148号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关于明确划拨土地权益价格和承租土地使用权市场价格内涵的批复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浙土资厅函〔2007〕382号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关于对受让人由原竞得人变更为新成立公司是否属于土地转让行为的批复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浙土资厅函〔2007〕439号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关于没收建筑物或违法所得是否应当告知当事人听证权利的答复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浙土资厅函〔2007〕515号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浙江省国土资源厅、浙江省财政厅关于探矿权有偿出让若干规定的通知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关于落实标本兼治保稳促调要求促进经济平稳较快增长的意见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浙江省国土资源厅、浙江省财政厅、中国人民银行杭州中心支行转发国土资源部、财政部、中国人民银行《土地储备管理办法》的通知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关于做好重点建设项目先行用地报部审批工作的通知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关于进一步加强基本农田保护示范区建设的通知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浙土资办〔2008〕98号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浙江省国土资源厅、浙江省保密局关于转发国土资源部、国家保密局《涉密地质资料管理细则》的通知</w:t>
            </w:r>
          </w:p>
        </w:tc>
        <w:tc>
          <w:tcPr>
            <w:tcW w:w="265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w w:val="90"/>
                <w:sz w:val="24"/>
                <w:szCs w:val="24"/>
              </w:rPr>
              <w:t>浙土资函〔2008〕109号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关于进一步加强土地整理项目管理的通知</w:t>
            </w:r>
          </w:p>
        </w:tc>
        <w:tc>
          <w:tcPr>
            <w:tcW w:w="265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w w:val="90"/>
                <w:sz w:val="24"/>
                <w:szCs w:val="24"/>
              </w:rPr>
              <w:t>浙土资办〔2008〕207号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关于国有建设用地使用权出让中联合竞买有关问题的批复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浙土资厅函〔2008〕410号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关于改进报国务院批准单独选址建设项目用地报批工作的通知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关于认真落实省委办公厅省政府办公厅扩大县（市）部分经济社会管理权限的通知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浙江省国土资源厅关于印发《城乡建设用地增减挂钩实施方案审查报批办法（试行）》的通知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浙土资发〔2009〕37号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关于做好矿产资源储量评审备案及登记工作的通知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浙土资办〔2009〕23号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浙江省国土资源厅关于进一步发挥土地保障和调控作用切实推进经济转型升级的通知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浙土资发〔2009〕39号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浙江省国土资源厅关于进一步规范采矿权管理若干问题的通知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浙江省国土资源厅、浙江省住房和城乡建设厅关于贯彻落实国土资源部、住房和城乡建设部进一步加强房地产用地和建设调控通知的意见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关于进一步加强国土资源听证工作的通知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转发国土资源部关于健全完善矿产资源勘查开采监督管理和执法监察长效机制的通知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关于贯彻国土资源部改进报国务院批准城市建设用地申报与实施工作的通知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浙土资办〔2010〕49号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转发国土资源部办公厅关于规范矿产资源勘查实施方案管理工作的通知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浙土资办〔2010〕91号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关于加强地质资料汇交管理做好地质资料清欠工作的通知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浙土资办〔2010〕92号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关于国有建设用地竞得人放弃竞得资格应承担法律责任问题的批复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关于民办教育和医疗卫生用地供地方式等问题批复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关于在农转用征收报批中地质灾害危险性评估问题的答复意见</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关于开工违约和闲置土地处置有关问题的复函</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浙土资厅函〔2010〕952号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关于城镇非农户口居民利用原宅基地建房用地审批有关问题的复函</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浙土资厅函〔2010〕1084号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关于住宅用地出让面积上限的批复</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浙土资厅函〔2010〕1177号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关于《对已超过处罚期限的非法转让行为受让户可否以非法占地行为予以处罚的请示》的答复意见</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浙土资厅函〔2010〕1269号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关于《土地出让工作中涉及公证事项有关问题的请示》的答复意见</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浙土资厅函〔2010〕1295号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关于切实做好全省产业集聚区用地保障工作的通知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关于进一步规范全省温泉（地热）勘查开发工作的通知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关于各级土地利用总体规划预留指标使用管理的通知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关于印发《关于支持浙商创业创新用地保障的实施意见》的通知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关于进一步简化矿产开发管理有关工作流程的通知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关于贯彻落实《浙江省人民政府办公厅关于进一步加快批而未供土地消化利用的通知》的通知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浙土资办〔2011〕114号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浙江省国土资源厅办公室关于规范农村土地综合整治项目审查报批工作的通知</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浙土资办〔2011〕129号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关于矿产资源补偿费征收有关问题的复函</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浙土资厅函〔2011〕573号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关于已出让用地在城市规划拆迁中是否可以直接办理重建审批手续的复函</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浙土资厅函〔2011〕1097号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关于连拍地块土地登记有关问题的答复意见</w:t>
            </w:r>
          </w:p>
        </w:tc>
        <w:tc>
          <w:tcPr>
            <w:tcW w:w="2658" w:type="dxa"/>
            <w:vAlign w:val="center"/>
          </w:tcPr>
          <w:p>
            <w:pPr>
              <w:jc w:val="center"/>
              <w:rPr>
                <w:rFonts w:ascii="Times New Roman" w:hAnsi="Times New Roman" w:eastAsia="仿宋_GB2312" w:cs="Times New Roman"/>
                <w:w w:val="80"/>
                <w:sz w:val="24"/>
                <w:szCs w:val="24"/>
              </w:rPr>
            </w:pPr>
            <w:r>
              <w:rPr>
                <w:rFonts w:ascii="Times New Roman" w:hAnsi="Times New Roman" w:eastAsia="仿宋_GB2312" w:cs="Times New Roman"/>
                <w:w w:val="80"/>
                <w:sz w:val="24"/>
                <w:szCs w:val="24"/>
              </w:rPr>
              <w:t>浙土资厅函〔2011〕1498号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关于做好古生物化石保护和管理工作的通知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关于转发《国土资源部关于规范矿产勘查资源储量成果信息发布的通知》的通知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关于印发《浙江省找矿成果奖励暂行办法》的通知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关于转发国土资源部《提升耕地保护水平全面加强耕地质量建设与管理的通知》的通知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关于印发《浙江省绿色矿山建设管理办法（试行）》的通知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关于做好低丘缓坡综合开发利用试点建设用地审查报批工作的通知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浙土资办〔2012〕69号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浙江省国土资源厅办公室关于进一步加强土地出让公告发布审查工作的通知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浙土资办〔2012〕118号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浙江省国土资源厅办公室关于进一步规范石灰岩等矿产资源勘查开发有关问题的通知</w:t>
            </w:r>
          </w:p>
        </w:tc>
        <w:tc>
          <w:tcPr>
            <w:tcW w:w="2658" w:type="dxa"/>
            <w:vAlign w:val="center"/>
          </w:tcPr>
          <w:p>
            <w:pPr>
              <w:jc w:val="center"/>
              <w:rPr>
                <w:rFonts w:ascii="Times New Roman" w:hAnsi="Times New Roman" w:eastAsia="仿宋_GB2312" w:cs="Times New Roman"/>
                <w:w w:val="90"/>
                <w:sz w:val="24"/>
                <w:szCs w:val="24"/>
              </w:rPr>
            </w:pPr>
            <w:r>
              <w:rPr>
                <w:rFonts w:ascii="Times New Roman" w:hAnsi="Times New Roman" w:eastAsia="仿宋_GB2312" w:cs="Times New Roman"/>
                <w:w w:val="90"/>
                <w:sz w:val="24"/>
                <w:szCs w:val="24"/>
              </w:rPr>
              <w:t>浙土资办〔2012〕128号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关于遗产继承后国有划拨土地使用权变更登记的答复意见</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w w:val="85"/>
                <w:sz w:val="24"/>
                <w:szCs w:val="24"/>
              </w:rPr>
              <w:t>浙土资厅函〔2012〕944号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关于规范全省温泉资源命名和标识管理的通知</w:t>
            </w:r>
          </w:p>
        </w:tc>
        <w:tc>
          <w:tcPr>
            <w:tcW w:w="2658" w:type="dxa"/>
            <w:vAlign w:val="center"/>
          </w:tcPr>
          <w:p>
            <w:pPr>
              <w:jc w:val="center"/>
              <w:rPr>
                <w:rFonts w:ascii="Times New Roman" w:hAnsi="Times New Roman" w:eastAsia="仿宋_GB2312" w:cs="Times New Roman"/>
                <w:w w:val="85"/>
                <w:sz w:val="24"/>
                <w:szCs w:val="24"/>
              </w:rPr>
            </w:pPr>
            <w:r>
              <w:rPr>
                <w:rFonts w:ascii="Times New Roman" w:hAnsi="Times New Roman" w:eastAsia="仿宋_GB2312" w:cs="Times New Roman"/>
                <w:sz w:val="24"/>
                <w:szCs w:val="24"/>
              </w:rPr>
              <w:t>浙土资发〔2013〕6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浙江省国土资源厅关于印发《浙江省土地利用计划管理办法（试行）》的通知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浙土资发〔2013〕58号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浙江省国土资源厅关于宁土资〔2013〕68号 的答复意见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w w:val="85"/>
                <w:sz w:val="24"/>
                <w:szCs w:val="24"/>
              </w:rPr>
              <w:t>浙土资厅函</w:t>
            </w:r>
            <w:bookmarkStart w:id="0" w:name="_GoBack"/>
            <w:bookmarkEnd w:id="0"/>
            <w:r>
              <w:rPr>
                <w:rFonts w:ascii="Times New Roman" w:hAnsi="Times New Roman" w:eastAsia="仿宋_GB2312" w:cs="Times New Roman"/>
                <w:w w:val="85"/>
                <w:sz w:val="24"/>
                <w:szCs w:val="24"/>
              </w:rPr>
              <w:t>〔2013〕1294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浙江省国土资源厅关于临时用地涉及永久基本农田有关事项的复函</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浙土资规〔2017〕10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关于印发《浙江省海域使用权申请审批暂行办法》的通知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浙海渔发〔2013〕8号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关于印发《浙江省无居民海岛使用申请审批管理暂行办法》的通知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浙海渔发〔2013〕20号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浙江省海洋与渔业局关于印发《局政府信息公开工作暂行办法》的通知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浙海渔情〔2016〕3号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浙江省海洋与渔业局关于印发《浙江省海洋功能区划（2011-2020年）》（2016年5月修订）的通知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浙海渔规〔2016〕9号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浙江省海洋与渔业局关于实行政务公开负面清单管理制度的通知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浙海渔情〔2017〕1号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 浙江省发展和改革委员会关于印发《浙江省围填海计划差别化管理暂行办法》的通知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浙海渔发〔2017〕2号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浙江省海洋与渔业局关于调整全省海洋与渔业系统执行行政许可事项的公告</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浙海渔法〔2017〕11号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浙江省海洋与渔业局关于调整全省海洋与渔业系统执行行政许可事项的公告</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浙海渔法〔2018〕8号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浙江省海洋与渔业局关于印发《浙江省海洋与渔业局“最多跑一次”办事事项容缺办理暂行办法》的通知 </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浙海渔办〔2018〕23号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浙江省测绘局关于印发《浙江省测量标志管理信息系统管理规定》的通知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浙测〔2002〕57号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浙江省测绘局关于印发《浙江省公开地图内容表示规定》的通知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浙测〔2003〕117号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浙江省测绘局关于实施《浙江省地图管理办法》有关问题的通知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浙江省测绘局关于印发《浙江省测绘成果委托检验管理暂行规定》的通知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浙江省测绘局关于印发《浙江省城市地下管线工程竣工测量和成果备案管理办法》的通知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浙测〔2006〕52号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浙江省测绘局关于印发《浙江省测绘质量监督管理办法》的通知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浙测〔2009〕35号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w w:val="95"/>
                <w:sz w:val="24"/>
                <w:szCs w:val="24"/>
              </w:rPr>
            </w:pPr>
            <w:r>
              <w:rPr>
                <w:rFonts w:ascii="Times New Roman" w:hAnsi="Times New Roman" w:eastAsia="仿宋_GB2312" w:cs="Times New Roman"/>
                <w:w w:val="95"/>
                <w:sz w:val="24"/>
                <w:szCs w:val="24"/>
              </w:rPr>
              <w:t>浙江省测绘与地理信息局关于印发《浙江省连续运行卫星定位综合服务系统使用管理暂行规定》的通知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浙测〔2011〕43号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浙江省测绘与地理信息局关于深入开展服务企业服务基层助推发展的若干意见</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浙测〔2012〕79号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浙江省测绘与地理信息局关于印发《浙江省测绘与地理信息项目备案及外国的组织或者个人在浙江测绘的项目备案管理办法》的通知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浙测〔2013〕34号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Align w:val="center"/>
          </w:tcPr>
          <w:p>
            <w:pPr>
              <w:pStyle w:val="9"/>
              <w:numPr>
                <w:ilvl w:val="0"/>
                <w:numId w:val="1"/>
              </w:numPr>
              <w:ind w:firstLineChars="0"/>
              <w:jc w:val="center"/>
              <w:rPr>
                <w:rFonts w:ascii="Times New Roman" w:hAnsi="Times New Roman" w:eastAsia="仿宋_GB2312" w:cs="Times New Roman"/>
                <w:sz w:val="24"/>
                <w:szCs w:val="24"/>
              </w:rPr>
            </w:pPr>
          </w:p>
        </w:tc>
        <w:tc>
          <w:tcPr>
            <w:tcW w:w="55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浙江省测绘与地理信息局关于调整浙江省乙丙丁级测绘资质审批受理条件的通知</w:t>
            </w:r>
          </w:p>
        </w:tc>
        <w:tc>
          <w:tcPr>
            <w:tcW w:w="26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浙测〔2017〕37号</w:t>
            </w:r>
          </w:p>
        </w:tc>
      </w:tr>
    </w:tbl>
    <w:p>
      <w:pPr>
        <w:rPr>
          <w:b/>
        </w:rPr>
      </w:pPr>
    </w:p>
    <w:sectPr>
      <w:pgSz w:w="11906" w:h="16838"/>
      <w:pgMar w:top="1928"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846"/>
    <w:multiLevelType w:val="multilevel"/>
    <w:tmpl w:val="1DE51846"/>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C7"/>
    <w:rsid w:val="000305C7"/>
    <w:rsid w:val="00224F1B"/>
    <w:rsid w:val="00297CC8"/>
    <w:rsid w:val="00317D83"/>
    <w:rsid w:val="00344BFC"/>
    <w:rsid w:val="003A2F47"/>
    <w:rsid w:val="00424BAC"/>
    <w:rsid w:val="00546287"/>
    <w:rsid w:val="005473A5"/>
    <w:rsid w:val="00676B62"/>
    <w:rsid w:val="00740B71"/>
    <w:rsid w:val="007F2476"/>
    <w:rsid w:val="00952004"/>
    <w:rsid w:val="009B26EE"/>
    <w:rsid w:val="00B16A66"/>
    <w:rsid w:val="00B657A9"/>
    <w:rsid w:val="00B846CC"/>
    <w:rsid w:val="00C218E3"/>
    <w:rsid w:val="00CE0CFA"/>
    <w:rsid w:val="00EC5960"/>
    <w:rsid w:val="107C2BA3"/>
    <w:rsid w:val="387A5510"/>
    <w:rsid w:val="5EBB2E7D"/>
    <w:rsid w:val="7071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4599</Words>
  <Characters>5106</Characters>
  <Lines>39</Lines>
  <Paragraphs>10</Paragraphs>
  <TotalTime>0</TotalTime>
  <ScaleCrop>false</ScaleCrop>
  <LinksUpToDate>false</LinksUpToDate>
  <CharactersWithSpaces>5111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2019-05-13T02:58:00Z</dcterms:created>
  <dc:creator>戴明</dc:creator>
  <cp:lastModifiedBy>章淇华</cp:lastModifiedBy>
  <dcterms:modified xsi:type="dcterms:W3CDTF">2019-07-01T01:09:32Z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